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b83b7e964ad8" /></Relationships>
</file>

<file path=word/document.xml><?xml version="1.0" encoding="utf-8"?>
<w:document xmlns:w="http://schemas.openxmlformats.org/wordprocessingml/2006/main">
  <w:body>
    <w:p>
      <w:r>
        <w:t>H-1585.1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2075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Bergquist and S. Hunt</w:t>
      </w:r>
    </w:p>
    <w:p/>
    <w:p>
      <w:r>
        <w:rPr>
          <w:t xml:space="preserve">Read first time 02/11/15.  </w:t>
        </w:rPr>
      </w:r>
      <w:r>
        <w:rPr>
          <w:t xml:space="preserve">Referred to Committee on State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certification of elections; and reenacting and amending RCW 29A.60.190.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60</w:t>
      </w:r>
      <w:r>
        <w:rPr/>
        <w:t xml:space="preserve">.</w:t>
      </w:r>
      <w:r>
        <w:t xml:space="preserve">190</w:t>
      </w:r>
      <w:r>
        <w:rPr/>
        <w:t xml:space="preserve"> and 2011 c 349 s 21 and 2011 c 10 s 58 are each reenacted and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Fourteen days after a primary or special election and twenty-one days after a general election, the county canvassing board shall complete the canvass and certify the results. Each ballot that was returned before 8:00 p.m. on the day of the special election, general election, or primary, and each ballot bearing a postmark on or before the date of the special election, general election, or primary and received no later than the day before certification, must be included in the canvass report.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If the April election falls in the fifth week of the month, certification must be conducted ten days following the special election.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10de47e171c452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2075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c4386bb5d4162" /><Relationship Type="http://schemas.openxmlformats.org/officeDocument/2006/relationships/footer" Target="/word/footer.xml" Id="Rc10de47e171c4520" /></Relationships>
</file>