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9e53dae4bf4596" /></Relationships>
</file>

<file path=word/document.xml><?xml version="1.0" encoding="utf-8"?>
<w:document xmlns:w="http://schemas.openxmlformats.org/wordprocessingml/2006/main">
  <w:body>
    <w:p>
      <w:r>
        <w:t>H-1592.1</w:t>
      </w:r>
    </w:p>
    <w:p>
      <w:pPr>
        <w:jc w:val="center"/>
      </w:pPr>
      <w:r>
        <w:t>_______________________________________________</w:t>
      </w:r>
    </w:p>
    <w:p/>
    <w:p>
      <w:pPr>
        <w:jc w:val="center"/>
      </w:pPr>
      <w:r>
        <w:rPr>
          <w:b/>
        </w:rPr>
        <w:t>HOUSE BILL 2073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Fey</w:t>
      </w:r>
    </w:p>
    <w:p/>
    <w:p>
      <w:r>
        <w:rPr>
          <w:t xml:space="preserve">Read first time 02/11/15.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energy independence act; and amending RCW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w:t>
      </w:r>
    </w:p>
    <w:p>
      <w:pPr>
        <w:spacing w:before="0" w:after="0" w:line="408" w:lineRule="exact"/>
        <w:ind w:left="0" w:right="0" w:firstLine="576"/>
        <w:jc w:val="left"/>
      </w:pPr>
      <w:r>
        <w:rPr>
          <w:u w:val="single"/>
        </w:rPr>
        <w:t xml:space="preserve">(f) The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(g) The environmental attributes, including renewable energy credits under (f)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 </w:t>
      </w:r>
      <w:r>
        <w:rPr>
          <w:u w:val="single"/>
        </w:rPr>
        <w:t xml:space="preserve">Beginning January 1, 2016, "Pacific Northwest" also includes the entire state of Montana.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w:t>
      </w:r>
      <w:r>
        <w:rPr>
          <w:u w:val="single"/>
        </w:rPr>
        <w:t xml:space="preserve">, except as provided in RCW 19.285.040(2)(m),</w:t>
      </w:r>
      <w:r>
        <w:rPr/>
        <w:t xml:space="preserve"> of at least one megawatt-hour of an eligible renewable resource where</w:t>
      </w:r>
      <w:r>
        <w:rPr>
          <w:u w:val="single"/>
        </w:rPr>
        <w:t xml:space="preserve">, except as provided in subsection (12)(g)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2018, a qualifying utility may use eligible renewable resources as identified under RCW 19.285.030(12) (f) and (g)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19.285.030(12)(g)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shall meet the requirements in </w:t>
      </w:r>
      <w:r>
        <w:rPr>
          <w:u w:val="single"/>
        </w:rPr>
        <w:t xml:space="preserve">subsections (1) and (2) of</w:t>
      </w:r>
      <w:r>
        <w:rPr/>
        <w:t xml:space="preserve"> this section on a time frame comparable in length to that provided for qualifying utilities as of December 7, 2006.</w:t>
      </w:r>
    </w:p>
    <w:p>
      <w:pPr>
        <w:spacing w:before="0" w:after="0" w:line="408" w:lineRule="exact"/>
        <w:ind w:left="0" w:right="0" w:firstLine="576"/>
        <w:jc w:val="left"/>
      </w:pPr>
      <w:r>
        <w:rPr>
          <w:u w:val="single"/>
        </w:rPr>
        <w:t xml:space="preserve">(4) Except as provided in (b), (c), and (d) of this subsection, beginning on January 1, 2021, and each year thereafter, all electric utilities as that term is defined in RCW 19.29A.010 shall meet one hundred percent of any new generation need with any one or any combination of the following: Conservation, eligible renewable resources, and storage.</w:t>
      </w:r>
    </w:p>
    <w:p>
      <w:pPr>
        <w:spacing w:before="0" w:after="0" w:line="408" w:lineRule="exact"/>
        <w:ind w:left="0" w:right="0" w:firstLine="576"/>
        <w:jc w:val="left"/>
      </w:pPr>
      <w:r>
        <w:rPr>
          <w:u w:val="single"/>
        </w:rPr>
        <w:t xml:space="preserve">(a) New generation subject to the requirements of this subsection, whether that new generation is needed to replace retiring generation, to meet load growth, or for any other purpose, includes the following:</w:t>
      </w:r>
    </w:p>
    <w:p>
      <w:pPr>
        <w:spacing w:before="0" w:after="0" w:line="408" w:lineRule="exact"/>
        <w:ind w:left="0" w:right="0" w:firstLine="576"/>
        <w:jc w:val="left"/>
      </w:pPr>
      <w:r>
        <w:rPr>
          <w:u w:val="single"/>
        </w:rPr>
        <w:t xml:space="preserve">(i) A utility's new or increased ownership interest in a new or existing generation facility or unit, consistent with RCW 19.285.030(16); and</w:t>
      </w:r>
    </w:p>
    <w:p>
      <w:pPr>
        <w:spacing w:before="0" w:after="0" w:line="408" w:lineRule="exact"/>
        <w:ind w:left="0" w:right="0" w:firstLine="576"/>
        <w:jc w:val="left"/>
      </w:pPr>
      <w:r>
        <w:rPr>
          <w:u w:val="single"/>
        </w:rPr>
        <w:t xml:space="preserve">(ii) A new or increased contractual commitment that obligates a utility to purchase a specified amount of megawatt-hours. Contracts do not comply with this subsection unless the sources or origins of generation can be ascertained with reasonable certainty. A contract is not in compliance with this subsection if the contract specifies a source of generation where the megawatt-hours from such source are double-counted or contractually committed to another purchaser.</w:t>
      </w:r>
    </w:p>
    <w:p>
      <w:pPr>
        <w:spacing w:before="0" w:after="0" w:line="408" w:lineRule="exact"/>
        <w:ind w:left="0" w:right="0" w:firstLine="576"/>
        <w:jc w:val="left"/>
      </w:pPr>
      <w:r>
        <w:rPr>
          <w:u w:val="single"/>
        </w:rPr>
        <w:t xml:space="preserve">(b) The following are not subject to the requirements of this subsection: (i) A utility's allocation of Bonneville power administration tier 1 power, as determined pursuant to a utility's tier 1 contract with Bonneville power administration; (ii) short-term spot market purchases; (iii) generation that is found by the Washington utilities and transportation commission or a utility's governing board to be required to maintain reliable service and comply with applicable standards of the North American electric reliability corporation or its successor; and (iv) increased megawatt-hours from a generation facility that is already owned by a utility where the utility's ownership interest in the facility does not increase.</w:t>
      </w:r>
    </w:p>
    <w:p>
      <w:pPr>
        <w:spacing w:before="0" w:after="0" w:line="408" w:lineRule="exact"/>
        <w:ind w:left="0" w:right="0" w:firstLine="576"/>
        <w:jc w:val="left"/>
      </w:pPr>
      <w:r>
        <w:rPr>
          <w:u w:val="single"/>
        </w:rPr>
        <w:t xml:space="preserve">(c) A utility may acquire new generation other than conservation, eligible renewable resources, and storage for integration, ancillary services, load following, and peak load requirements only if the new generation is found by the Washington utilities and transportation commission or a utility's governing board to be required for such purposes.</w:t>
      </w:r>
    </w:p>
    <w:p>
      <w:pPr>
        <w:spacing w:before="0" w:after="0" w:line="408" w:lineRule="exact"/>
        <w:ind w:left="0" w:right="0" w:firstLine="576"/>
        <w:jc w:val="left"/>
      </w:pPr>
      <w:r>
        <w:rPr>
          <w:u w:val="single"/>
        </w:rPr>
        <w:t xml:space="preserve">(d) A utility may only acquire existing Washington-based and Washington utility-owned hydropower in a year where a utility acquires new generation that individually or collectively serves more than ten percent of the utility's annual load. The hydropower acquired pursuant to this subsection (4)(d) may not exceed fifty percent of the new generation acquired by the utility.</w:t>
      </w:r>
    </w:p>
    <w:p>
      <w:pPr>
        <w:spacing w:before="0" w:after="0" w:line="408" w:lineRule="exact"/>
        <w:ind w:left="0" w:right="0" w:firstLine="576"/>
        <w:jc w:val="left"/>
      </w:pPr>
      <w:r>
        <w:rPr>
          <w:u w:val="single"/>
        </w:rPr>
        <w:t xml:space="preserve">(e) If a utility acquires a new ownership interest or contractual commitment in gas-fired generation after January 1, 2015, and before January 1, 2021, only the megawatt-hours needed to serve the utility's load in the year that the utility acquires such ownership interest or contractual commitment will be considered existing generation. Any increase in the megawatt-hours used or acquired by the utility after January 1, 2021, must be treated as new generation and are subject to the requirements of this subsection (4).</w:t>
      </w:r>
    </w:p>
    <w:p>
      <w:pPr>
        <w:spacing w:before="0" w:after="0" w:line="408" w:lineRule="exact"/>
        <w:ind w:left="0" w:right="0" w:firstLine="576"/>
        <w:jc w:val="left"/>
      </w:pPr>
      <w:r>
        <w:rPr>
          <w:u w:val="single"/>
        </w:rPr>
        <w:t xml:space="preserve">(f) For the purposes of this subsection:</w:t>
      </w:r>
    </w:p>
    <w:p>
      <w:pPr>
        <w:spacing w:before="0" w:after="0" w:line="408" w:lineRule="exact"/>
        <w:ind w:left="0" w:right="0" w:firstLine="576"/>
        <w:jc w:val="left"/>
      </w:pPr>
      <w:r>
        <w:rPr>
          <w:u w:val="single"/>
        </w:rPr>
        <w:t xml:space="preserve">(i) "Ancillary services" means those services necessary to support the transmission of electric power from resources to loads while maintaining reliable operations of the interconnected transmission system in accordance with good utility practice.</w:t>
      </w:r>
    </w:p>
    <w:p>
      <w:pPr>
        <w:spacing w:before="0" w:after="0" w:line="408" w:lineRule="exact"/>
        <w:ind w:left="0" w:right="0" w:firstLine="576"/>
        <w:jc w:val="left"/>
      </w:pPr>
      <w:r>
        <w:rPr>
          <w:u w:val="single"/>
        </w:rPr>
        <w:t xml:space="preserve">(ii) "Integration" means the incremental reserve requirement necessary to follow changes in the output of a variable energy resource to maintain a continuous balance between loads and generation.</w:t>
      </w:r>
    </w:p>
    <w:p>
      <w:pPr>
        <w:spacing w:before="0" w:after="0" w:line="408" w:lineRule="exact"/>
        <w:ind w:left="0" w:right="0" w:firstLine="576"/>
        <w:jc w:val="left"/>
      </w:pPr>
      <w:r>
        <w:rPr>
          <w:u w:val="single"/>
        </w:rPr>
        <w:t xml:space="preserve">(iii) "Load following" means generation necessary to follow changes in load on a moment-to-moment basis to maintain a continuous balance between loads and generation.</w:t>
      </w:r>
    </w:p>
    <w:p>
      <w:pPr>
        <w:spacing w:before="0" w:after="0" w:line="408" w:lineRule="exact"/>
        <w:ind w:left="0" w:right="0" w:firstLine="576"/>
        <w:jc w:val="left"/>
      </w:pPr>
      <w:r>
        <w:rPr>
          <w:u w:val="single"/>
        </w:rPr>
        <w:t xml:space="preserve">(iv) "Peak load" means a utility's highest forecast load requirement over a ten-year planning period.</w:t>
      </w:r>
    </w:p>
    <w:p>
      <w:pPr>
        <w:spacing w:before="0" w:after="0" w:line="408" w:lineRule="exact"/>
        <w:ind w:left="0" w:right="0" w:firstLine="576"/>
        <w:jc w:val="left"/>
      </w:pPr>
      <w:r>
        <w:rPr>
          <w:u w:val="single"/>
        </w:rPr>
        <w:t xml:space="preserve">(v) "Short-term spot market purchase" means: (A) The purchase of energy on the spot market for immediate delivery; or (B) a contract for the purchase of energy on the spot market that is for a term of no more than three months.</w:t>
      </w:r>
    </w:p>
    <w:p>
      <w:pPr>
        <w:spacing w:before="0" w:after="0" w:line="408" w:lineRule="exact"/>
        <w:ind w:left="0" w:right="0" w:firstLine="576"/>
        <w:jc w:val="left"/>
      </w:pPr>
      <w:r>
        <w:rPr>
          <w:u w:val="single"/>
        </w:rPr>
        <w:t xml:space="preserve">(vi) "Spot market" means a physical market in which wholesale electricity is bought, sold, or traded for immediate delivery, such as the Mid-Columbia spot market.</w:t>
      </w:r>
    </w:p>
    <w:p>
      <w:pPr>
        <w:spacing w:before="0" w:after="0" w:line="408" w:lineRule="exact"/>
        <w:ind w:left="0" w:right="0" w:firstLine="576"/>
        <w:jc w:val="left"/>
      </w:pPr>
      <w:r>
        <w:rPr>
          <w:u w:val="single"/>
        </w:rPr>
        <w:t xml:space="preserve">(vii) "Storage" means a set of technologies capable of storing previously generated electric energy and releasing that energy at a later time. For the purposes of this subsection (4)(f)(vii), pumped storage projects are considered an energy storage tool for grid stabilization and improved integration of variable renewable energy resources and should not cause any additional adverse impacts to waterways. Adverse impacts may be in river, in-channel peaking, ramping, new pumping of groundwater, or diversion of surface water resources. Utilities should focus on reservoirs already built where water rights are already issued.</w:t>
      </w:r>
    </w:p>
    <w:p>
      <w:pPr>
        <w:spacing w:before="0" w:after="0" w:line="408" w:lineRule="exact"/>
        <w:ind w:left="0" w:right="0" w:firstLine="576"/>
        <w:jc w:val="left"/>
      </w:pPr>
      <w:r>
        <w:rPr>
          <w:u w:val="single"/>
        </w:rPr>
        <w:t xml:space="preserve">(viii) "Tier 1 contract" means a power sales contract between a consumer-owned utility and the Bonneville power administration that contains a contract high water mark, and under which the utility purchases power from Bonneville at rates established by Bonneville in accordance with Bonneville's tiered rate methodology.</w:t>
      </w:r>
    </w:p>
    <w:p>
      <w:pPr>
        <w:spacing w:before="0" w:after="0" w:line="408" w:lineRule="exact"/>
        <w:ind w:left="0" w:right="0" w:firstLine="576"/>
        <w:jc w:val="left"/>
      </w:pPr>
      <w:r>
        <w:rPr>
          <w:u w:val="single"/>
        </w:rPr>
        <w:t xml:space="preserve">(g) The requirements of this subsection (4) do not replace or modify the requirements contained in subsections (1), (2), and (3) of this section for qualifying utilities. Qualifying utilities must comply with the requirements of this subsection in addition to the requirements imposed elsewhere in this section and chapter.</w:t>
      </w:r>
    </w:p>
    <w:p>
      <w:pPr>
        <w:spacing w:before="0" w:after="0" w:line="408" w:lineRule="exact"/>
        <w:ind w:left="0" w:right="0" w:firstLine="576"/>
        <w:jc w:val="left"/>
      </w:pPr>
      <w:r>
        <w:rPr>
          <w:u w:val="single"/>
        </w:rPr>
        <w:t xml:space="preserve">(h) The requirements of this subsection (4) constitute renewable energy targets that are subject to the accountability and enforcement provisions under RCW 19.285.060, the reporting and public disclosure provisions under RCW 19.285.070, and the rule-making provisions under RCW 19.285.080. The provisions of RCW 19.285.060, 19.285.070, and 19.285.080 must be applied and enforced with respect to all electric utilities for the purposes of this subsection (4).</w:t>
      </w:r>
    </w:p>
    <w:p/>
    <w:p>
      <w:pPr>
        <w:jc w:val="center"/>
      </w:pPr>
      <w:r>
        <w:rPr>
          <w:b/>
        </w:rPr>
        <w:t>--- END ---</w:t>
      </w:r>
    </w:p>
    <w:sectPr>
      <w:pgNumType w:start="1"/>
      <w:footerReference xmlns:r="http://schemas.openxmlformats.org/officeDocument/2006/relationships" r:id="R978ebb84420241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8c328f9e884b68" /><Relationship Type="http://schemas.openxmlformats.org/officeDocument/2006/relationships/footer" Target="/word/footer.xml" Id="R978ebb8442024195" /></Relationships>
</file>