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5e670b80540c6" /></Relationships>
</file>

<file path=word/document.xml><?xml version="1.0" encoding="utf-8"?>
<w:document xmlns:w="http://schemas.openxmlformats.org/wordprocessingml/2006/main">
  <w:body>
    <w:p>
      <w:r>
        <w:t>H-0771.1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2067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Young, Caldier, Magendanz, Short, Harmsworth, McCaslin, Smith, Scott, Zeiger, and Fagan</w:t>
      </w:r>
    </w:p>
    <w:p/>
    <w:p>
      <w:r>
        <w:rPr>
          <w:t xml:space="preserve">Read first time 02/10/15.  </w:t>
        </w:rPr>
      </w:r>
      <w:r>
        <w:rPr>
          <w:t xml:space="preserve">Referred to Committee on Early Learning &amp; Human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specifying that qualified grandparents are the priority placement option for children needing out-of-home care in dependency proceedings; and adding a new section to chapter 13.34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13</w:t>
      </w:r>
      <w:r>
        <w:rPr/>
        <w:t xml:space="preserve">.</w:t>
      </w:r>
      <w:r>
        <w:t xml:space="preserve">34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For the purposes of this section, "qualified grandparent" means a person who: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the parent of a child's father or mother, and who is related to the child by blood, adoption, or marriage;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Has a significant relationship with the child;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Has performed parenting functions as defined in RCW 26.09.004 for the child on a regular or routine basis, or who has served as the primary residential care provider for the child;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Is willing and able to be the selected placement option for the child.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In determining whether placement with a qualified grandparent is in the child's best interests, the court shall consider the following nonexclusive factors: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love, affection, and strength of the relationship between the child and the grandparent;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length and quality of the relationship between the child and the grandparent, including the roles performed by the grandparent and the emotional ties between the child and the grandparent;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child's reasonable preference, if the court finds the child is of sufficient age or maturity to express a preference;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good faith of the grandparent in seeking to have the child placed in his or her home;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The criminal history, if any, of the grandparent as determined by a criminal history background check required by law;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The grandparent's history of any adverse actions, including findings relating to child abuse and neglect by the grandparent;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If applicable, the number of placement changes the child already has experienced and the potential impact of an additional change in placement to the grandparent's home;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The child's current level of functioning at home and in school or early learning programs, and child care programs;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Whether placement with the qualified grandparent would allow the child: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To remain in the same school, child care center, or early learning program, or to continue participating in any extracurricular activities that contribute to the child's healthy development with peers;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To participate in court-ordered visitation with parents and siblings;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To access any court-ordered services intended to promote the child's health, safety, and well-being;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To participate in other activities designed to achieve the permanency goal for the child;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(j) Any other factors relevant to the child's best interests.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Notwithstanding any other provision of law, if the court orders an out-of-home placement for a child under this chapter, the court shall order the child placed with a qualified grandparent unless the court finds by clear and convincing evidence that the placement would not be in the child's best interests.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6de37a7b11b41d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2067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fd33d70884b93" /><Relationship Type="http://schemas.openxmlformats.org/officeDocument/2006/relationships/footer" Target="/word/footer.xml" Id="R76de37a7b11b41d5" /></Relationships>
</file>