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6b95d3ce54106" /></Relationships>
</file>

<file path=word/document.xml><?xml version="1.0" encoding="utf-8"?>
<w:document xmlns:w="http://schemas.openxmlformats.org/wordprocessingml/2006/main">
  <w:body>
    <w:p>
      <w:r>
        <w:t>H-1503.1</w:t>
      </w:r>
    </w:p>
    <w:p>
      <w:pPr>
        <w:jc w:val="center"/>
      </w:pPr>
      <w:r>
        <w:t>_______________________________________________</w:t>
      </w:r>
    </w:p>
    <w:p/>
    <w:p>
      <w:pPr>
        <w:jc w:val="center"/>
      </w:pPr>
      <w:r>
        <w:rPr>
          <w:b/>
        </w:rPr>
        <w:t>HOUSE BILL 2033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Rodne, Orwall, Jinkins, Griffey, Fey, Pollet, and Ormsby</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protection orders; and amending RCW 7.90.120 and 7.90.121.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spacing w:before="0" w:after="0" w:line="408" w:lineRule="exact"/>
        <w:ind w:left="0" w:right="0" w:firstLine="576"/>
        <w:jc w:val="left"/>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u w:val="single"/>
        </w:rPr>
        <w:t xml:space="preserve">or be permanent</w:t>
      </w:r>
      <w:r>
        <w:rPr/>
        <w:t xml:space="preserve">.</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spacing w:before="0" w:after="0" w:line="408" w:lineRule="exact"/>
        <w:ind w:left="0" w:right="0" w:firstLine="576"/>
        <w:jc w:val="left"/>
      </w:pPr>
      <w:r>
        <w:rPr/>
        <w:t xml:space="preserve">(1) Any ex parte temporary or </w:t>
      </w:r>
      <w:r>
        <w:rPr>
          <w:u w:val="single"/>
        </w:rPr>
        <w:t xml:space="preserve">nonpermanent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spacing w:before="0" w:after="0" w:line="408" w:lineRule="exact"/>
        <w:ind w:left="0" w:right="0" w:firstLine="576"/>
        <w:jc w:val="left"/>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u w:val="single"/>
        </w:rPr>
        <w:t xml:space="preserve">The court shall grant the motion for renewal unless the respondent proves by a preponderance of the evidence that the respondent will not engage in or attempt to engage in physical or nonphysical contact with the petitioner when the order expires. 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t xml:space="preserve">(4)(a) 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spacing w:before="0" w:after="0" w:line="408" w:lineRule="exact"/>
        <w:ind w:left="0" w:right="0" w:firstLine="576"/>
        <w:jc w:val="left"/>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t xml:space="preserve">(5) Renewals may be granted only in open court.</w:t>
      </w:r>
    </w:p>
    <w:p/>
    <w:p>
      <w:pPr>
        <w:jc w:val="center"/>
      </w:pPr>
      <w:r>
        <w:rPr>
          <w:b/>
        </w:rPr>
        <w:t>--- END ---</w:t>
      </w:r>
    </w:p>
    <w:sectPr>
      <w:pgNumType w:start="1"/>
      <w:footerReference xmlns:r="http://schemas.openxmlformats.org/officeDocument/2006/relationships" r:id="Rd4c13bb7a7f643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b89b5b0374c0f" /><Relationship Type="http://schemas.openxmlformats.org/officeDocument/2006/relationships/footer" Target="/word/footer.xml" Id="Rd4c13bb7a7f6430e" /></Relationships>
</file>