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86dadb67d401f" /></Relationships>
</file>

<file path=word/document.xml><?xml version="1.0" encoding="utf-8"?>
<w:document xmlns:w="http://schemas.openxmlformats.org/wordprocessingml/2006/main">
  <w:body>
    <w:p>
      <w:r>
        <w:t>H-1418.1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2027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Chandler and Hurst</w:t>
      </w:r>
    </w:p>
    <w:p/>
    <w:p>
      <w:r>
        <w:rPr>
          <w:t xml:space="preserve">Read first time 02/09/15.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regulation of gambling devices; and amending RCW 9.46.310.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46</w:t>
      </w:r>
      <w:r>
        <w:rPr/>
        <w:t xml:space="preserve">.</w:t>
      </w:r>
      <w:r>
        <w:t xml:space="preserve">310</w:t>
      </w:r>
      <w:r>
        <w:rPr/>
        <w:t xml:space="preserve"> and 1981 c 139 s 13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No person shall manufacture, and no person shall sell, distribute, furnish</w:t>
      </w:r>
      <w:r>
        <w:rPr>
          <w:u w:val="single"/>
        </w:rPr>
        <w:t xml:space="preserve">,</w:t>
      </w:r>
      <w:r>
        <w:rPr/>
        <w:t xml:space="preserve"> or supply to any other person, any gambling device, including but not limited to punchboards and pull-tabs, in this state, or for use within this state, without first obtaining a license to do so from the commission under the provisions of this chapter.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Such licenses shall not be issued by the commission except respecting devices which are designed and permitted for use in connection with activities authorized under this chapter: PROVIDED, That this requirement for licensure shall apply only insofar as the commission has adopted, or may adopt, rules implementing it as to particular categories of gambling devices and related equipment.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A business may possess gambling devices or components of authorized gambling devices without first obtaining a license if the business registers with the commission. Possession of gambling devices or components of gambling devices is allowed only when: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The devices and components are: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Inspected and approved by the commission;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Not available to the general public;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Accessible only to employees of the business;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Possessed only in locations approved by the commission;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(v) Not used for gambling purposes;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The business is in compliance with any commission rules adopted under this chapter and has paid any inspection fees as required by the commission.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9b68f5c5d7744d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2027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d123c72e24ae9" /><Relationship Type="http://schemas.openxmlformats.org/officeDocument/2006/relationships/footer" Target="/word/footer.xml" Id="R69b68f5c5d7744de" /></Relationships>
</file>