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3ef9a127d343a3" /></Relationships>
</file>

<file path=word/document.xml><?xml version="1.0" encoding="utf-8"?>
<w:document xmlns:w="http://schemas.openxmlformats.org/wordprocessingml/2006/main">
  <w:body>
    <w:p>
      <w:r>
        <w:t>H-1369.1</w:t>
      </w:r>
    </w:p>
    <w:p>
      <w:pPr>
        <w:jc w:val="center"/>
      </w:pPr>
      <w:r>
        <w:t>_______________________________________________</w:t>
      </w:r>
    </w:p>
    <w:p/>
    <w:p>
      <w:pPr>
        <w:jc w:val="center"/>
      </w:pPr>
      <w:r>
        <w:rPr>
          <w:b/>
        </w:rPr>
        <w:t>HOUSE BILL 2011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Condotta, McBride, Vick, Takko, Hayes, Walkinshaw, Pettigrew, Magendanz, Wilcox, Stokesbary, Kirby, Goodman, Blake, DeBolt, Morris, Zeiger, Moscoso, Rodne, Harris, Fagan, Schmick, Stanford, Holy, and Ormsby</w:t>
      </w:r>
    </w:p>
    <w:p/>
    <w:p>
      <w:r>
        <w:rPr>
          <w:t xml:space="preserve">Read first time 02/06/15.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eligible server equipment installed in certain data centers; amending RCW 82.08.986 and 82.12.986;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sales and use tax exemption contained in RCW 82.08.986 and 82.12.986.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sales and use tax exemption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spacing w:before="0" w:after="0" w:line="408" w:lineRule="exact"/>
        <w:ind w:left="0" w:right="0" w:firstLine="576"/>
        <w:jc w:val="left"/>
      </w:pPr>
      <w:r>
        <w:rPr/>
        <w:t xml:space="preserve">(3) If a review finds that the rural county tax base is increased as a result of the construction of computer data centers eligible for the sales and use tax exemption in RCW 82.08.986 and 82.12.986,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spacing w:before="0" w:after="0" w:line="408" w:lineRule="exact"/>
        <w:ind w:left="0" w:right="0" w:firstLine="576"/>
        <w:jc w:val="left"/>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spacing w:before="0" w:after="0" w:line="408" w:lineRule="exact"/>
        <w:ind w:left="0" w:right="0" w:firstLine="576"/>
        <w:jc w:val="left"/>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spacing w:before="0" w:after="0" w:line="408" w:lineRule="exact"/>
        <w:ind w:left="0" w:right="0" w:firstLine="576"/>
        <w:jc w:val="left"/>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spacing w:before="0" w:after="0" w:line="408" w:lineRule="exact"/>
        <w:ind w:left="0" w:right="0" w:firstLine="576"/>
        <w:jc w:val="left"/>
      </w:pPr>
      <w:r>
        <w:rPr/>
        <w:t xml:space="preserve">(i) Thirty-five family wage employment positions; or</w:t>
      </w:r>
    </w:p>
    <w:p>
      <w:pPr>
        <w:spacing w:before="0" w:after="0" w:line="408" w:lineRule="exact"/>
        <w:ind w:left="0" w:right="0" w:firstLine="576"/>
        <w:jc w:val="left"/>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spacing w:before="0" w:after="0" w:line="408" w:lineRule="exact"/>
        <w:ind w:left="0" w:right="0" w:firstLine="576"/>
        <w:jc w:val="left"/>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owner of the eligible computer data center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 All previously exempted sales and use taxes are immediately due and payable for a qualifying business or qualifying tenant that does not meet the requirements of this subsection.</w:t>
      </w:r>
    </w:p>
    <w:p>
      <w:pPr>
        <w:spacing w:before="0" w:after="0" w:line="408" w:lineRule="exact"/>
        <w:ind w:left="0" w:right="0" w:firstLine="576"/>
        <w:jc w:val="left"/>
      </w:pPr>
      <w:r>
        <w:rPr/>
        <w:t xml:space="preserve">(4) A qualifying business or a qualifying tenant claiming an exemption under this section or RCW 82.12.986 must complete an annual report with the department as required under RCW 82.32.534.</w:t>
      </w:r>
    </w:p>
    <w:p>
      <w:pPr>
        <w:spacing w:before="0" w:after="0" w:line="408" w:lineRule="exact"/>
        <w:ind w:left="0" w:right="0" w:firstLine="576"/>
        <w:jc w:val="left"/>
      </w:pPr>
      <w:r>
        <w:rPr/>
        <w:t xml:space="preserve">(5)(a)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(5).</w:t>
      </w:r>
    </w:p>
    <w:p>
      <w:pPr>
        <w:spacing w:before="0" w:after="0" w:line="408" w:lineRule="exact"/>
        <w:ind w:left="0" w:right="0" w:firstLine="576"/>
        <w:jc w:val="left"/>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spacing w:before="0" w:after="0" w:line="408" w:lineRule="exact"/>
        <w:ind w:left="0" w:right="0" w:firstLine="576"/>
        <w:jc w:val="left"/>
      </w:pPr>
      <w:r>
        <w:rPr/>
        <w:t xml:space="preserve">(6) </w:t>
      </w:r>
      <w:r>
        <w:t>((</w:t>
      </w:r>
      <w:r>
        <w:rPr>
          <w:strike/>
        </w:rPr>
        <w:t xml:space="preserve">For purposes of this section the following definitions apply</w:t>
      </w:r>
      <w:r>
        <w:t>))</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u w:val="single"/>
        </w:rPr>
        <w:t xml:space="preserve">(c)</w:t>
      </w:r>
      <w:r>
        <w:rPr/>
        <w:t xml:space="preserve">(i)(A) through (C) of this subsection (6).</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(c)</w:t>
      </w:r>
      <w:r>
        <w:t>))</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(d)</w:t>
      </w:r>
      <w:r>
        <w:t>))</w:t>
      </w:r>
      <w:r>
        <w:rPr>
          <w:u w:val="single"/>
        </w:rPr>
        <w:t xml:space="preserve">(e)</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w:t>
      </w:r>
    </w:p>
    <w:p>
      <w:pPr>
        <w:spacing w:before="0" w:after="0" w:line="408" w:lineRule="exact"/>
        <w:ind w:left="0" w:right="0" w:firstLine="576"/>
        <w:jc w:val="left"/>
      </w:pPr>
      <w:r>
        <w:rPr/>
        <w:t xml:space="preserve">(B) Having at least twenty thousand square feet dedicated to housing working servers, where the server space has not previously been dedicated to housing working servers;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 </w:t>
      </w:r>
      <w:r>
        <w:t>((</w:t>
      </w:r>
      <w:r>
        <w:rPr>
          <w:strike/>
        </w:rPr>
        <w:t xml:space="preserve">or</w:t>
      </w:r>
      <w:r>
        <w:t>))</w:t>
      </w:r>
    </w:p>
    <w:p>
      <w:pPr>
        <w:spacing w:before="0" w:after="0" w:line="408" w:lineRule="exact"/>
        <w:ind w:left="0" w:right="0" w:firstLine="576"/>
        <w:jc w:val="left"/>
      </w:pPr>
      <w:r>
        <w:rPr/>
        <w:t xml:space="preserve">(II) After March 31, 2012, and before July 1, 2015</w:t>
      </w:r>
      <w:r>
        <w:rPr>
          <w:u w:val="single"/>
        </w:rPr>
        <w:t xml:space="preserve">; or</w:t>
      </w:r>
    </w:p>
    <w:p>
      <w:pPr>
        <w:spacing w:before="0" w:after="0" w:line="408" w:lineRule="exact"/>
        <w:ind w:left="0" w:right="0" w:firstLine="576"/>
        <w:jc w:val="left"/>
      </w:pPr>
      <w:r>
        <w:rPr>
          <w:u w:val="single"/>
        </w:rPr>
        <w:t xml:space="preserve">(III) After June 30, 2015, and before July 1, 2025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spacing w:before="0" w:after="0" w:line="408" w:lineRule="exact"/>
        <w:ind w:left="0" w:right="0" w:firstLine="576"/>
        <w:jc w:val="left"/>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u w:val="single"/>
        </w:rPr>
        <w:t xml:space="preserve">(e)</w:t>
      </w:r>
      <w:r>
        <w:rPr/>
        <w:t xml:space="preserve">(i)(B) of this subsection (6).</w:t>
      </w:r>
    </w:p>
    <w:p>
      <w:pPr>
        <w:spacing w:before="0" w:after="0" w:line="408" w:lineRule="exact"/>
        <w:ind w:left="0" w:right="0" w:firstLine="576"/>
        <w:jc w:val="left"/>
      </w:pPr>
      <w:r>
        <w:t>((</w:t>
      </w:r>
      <w:r>
        <w:rPr>
          <w:strike/>
        </w:rPr>
        <w:t xml:space="preserve">(e)</w:t>
      </w:r>
      <w:r>
        <w:t>))</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spacing w:before="0" w:after="0" w:line="408" w:lineRule="exact"/>
        <w:ind w:left="0" w:right="0" w:firstLine="576"/>
        <w:jc w:val="left"/>
      </w:pPr>
      <w:r>
        <w:t>((</w:t>
      </w:r>
      <w:r>
        <w:rPr>
          <w:strike/>
        </w:rPr>
        <w:t xml:space="preserve">(f)</w:t>
      </w:r>
      <w:r>
        <w:t>))</w:t>
      </w:r>
      <w:r>
        <w:rPr>
          <w:u w:val="single"/>
        </w:rPr>
        <w:t xml:space="preserve">(g)</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(d)</w:t>
      </w:r>
      <w:r>
        <w:t>))</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2018</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(d)</w:t>
      </w:r>
      <w:r>
        <w:t>))</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u w:val="single"/>
        </w:rPr>
        <w:t xml:space="preserve">(g)</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rPr/>
        <w:t xml:space="preserve">(iii) </w:t>
      </w:r>
      <w:r>
        <w:rPr>
          <w:u w:val="single"/>
        </w:rPr>
        <w:t xml:space="preserve">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 "replacement server equipment" means server equipment that replaces existing server equipment, if the sale or use of the server equipment to be replaced qualified for an exemption under this section or RCW 82.12.986.</w:t>
      </w:r>
    </w:p>
    <w:p>
      <w:pPr>
        <w:spacing w:before="0" w:after="0" w:line="408" w:lineRule="exact"/>
        <w:ind w:left="0" w:right="0" w:firstLine="576"/>
        <w:jc w:val="left"/>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w:t>
      </w:r>
      <w:r>
        <w:t>))</w:t>
      </w:r>
      <w:r>
        <w:rPr>
          <w:u w:val="single"/>
        </w:rPr>
        <w:t xml:space="preserve">(g)</w:t>
      </w:r>
      <w:r>
        <w:rPr/>
        <w:t xml:space="preserve">(iii),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w:t>
      </w:r>
      <w:r>
        <w:t>((</w:t>
      </w:r>
      <w:r>
        <w:rPr>
          <w:strike/>
        </w:rPr>
        <w:t xml:space="preserve">before April 1, 2020</w:t>
      </w:r>
      <w:r>
        <w:t>))</w:t>
      </w:r>
      <w:r>
        <w:rPr>
          <w:u w:val="single"/>
        </w:rPr>
        <w:t xml:space="preserve">eight years after the date of the certificate of occupancy</w:t>
      </w:r>
      <w:r>
        <w:rPr/>
        <w:t xml:space="preserve">.</w:t>
      </w:r>
    </w:p>
    <w:p>
      <w:pPr>
        <w:spacing w:before="0" w:after="0" w:line="408" w:lineRule="exact"/>
        <w:ind w:left="0" w:right="0" w:firstLine="576"/>
        <w:jc w:val="left"/>
      </w:pPr>
      <w:r>
        <w:t>((</w:t>
      </w:r>
      <w:r>
        <w:rPr>
          <w:strike/>
        </w:rPr>
        <w:t xml:space="preserve">(g)</w:t>
      </w:r>
      <w:r>
        <w:t>))</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(h)</w:t>
      </w:r>
      <w:r>
        <w:t>))</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u w:val="single"/>
        </w:rPr>
        <w:t xml:space="preserve">(e)</w:t>
      </w:r>
      <w:r>
        <w:rPr/>
        <w:t xml:space="preserve">(i)(C)(I) of this subsection (6),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(i)</w:t>
      </w:r>
      <w:r>
        <w:t>))</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t xml:space="preserve">(7) This section expires April 1, </w:t>
      </w:r>
      <w:r>
        <w:t>((</w:t>
      </w:r>
      <w:r>
        <w:rPr>
          <w:strike/>
        </w:rPr>
        <w:t xml:space="preserve">2020</w:t>
      </w:r>
      <w:r>
        <w:t>))</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(3)(a) The exemption provided in this section does not apply to:</w:t>
      </w:r>
    </w:p>
    <w:p>
      <w:pPr>
        <w:spacing w:before="0" w:after="0" w:line="408" w:lineRule="exact"/>
        <w:ind w:left="0" w:right="0" w:firstLine="576"/>
        <w:jc w:val="left"/>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t xml:space="preserve">(ii) Any person affiliated with a person within the scope of (a)(i) of this subsection (3).</w:t>
      </w:r>
    </w:p>
    <w:p>
      <w:pPr>
        <w:spacing w:before="0" w:after="0" w:line="408" w:lineRule="exact"/>
        <w:ind w:left="0" w:right="0" w:firstLine="576"/>
        <w:jc w:val="left"/>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t xml:space="preserve">(4) The definitions and requirements in RCW 82.08.986 apply to this section.</w:t>
      </w:r>
    </w:p>
    <w:p>
      <w:pPr>
        <w:spacing w:before="0" w:after="0" w:line="408" w:lineRule="exact"/>
        <w:ind w:left="0" w:right="0" w:firstLine="576"/>
        <w:jc w:val="left"/>
      </w:pPr>
      <w:r>
        <w:rPr/>
        <w:t xml:space="preserve">(5) This section expires April 1, </w:t>
      </w:r>
      <w:r>
        <w:t>((</w:t>
      </w:r>
      <w:r>
        <w:rPr>
          <w:strike/>
        </w:rPr>
        <w:t xml:space="preserve">2020</w:t>
      </w:r>
      <w:r>
        <w:t>))</w:t>
      </w:r>
      <w:r>
        <w:rPr>
          <w:u w:val="single"/>
        </w:rPr>
        <w:t xml:space="preserve">2025</w:t>
      </w:r>
      <w:r>
        <w:rPr/>
        <w:t xml:space="preserve">.</w:t>
      </w:r>
    </w:p>
    <w:p/>
    <w:p>
      <w:pPr>
        <w:jc w:val="center"/>
      </w:pPr>
      <w:r>
        <w:rPr>
          <w:b/>
        </w:rPr>
        <w:t>--- END ---</w:t>
      </w:r>
    </w:p>
    <w:sectPr>
      <w:pgNumType w:start="1"/>
      <w:footerReference xmlns:r="http://schemas.openxmlformats.org/officeDocument/2006/relationships" r:id="R34d5ed4531964b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36b8ea62454628" /><Relationship Type="http://schemas.openxmlformats.org/officeDocument/2006/relationships/footer" Target="/word/footer.xml" Id="R34d5ed4531964b38" /></Relationships>
</file>