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a0b409793f4bb5" /></Relationships>
</file>

<file path=word/document.xml><?xml version="1.0" encoding="utf-8"?>
<w:document xmlns:w="http://schemas.openxmlformats.org/wordprocessingml/2006/main">
  <w:body>
    <w:p>
      <w:r>
        <w:t>H-1455.1</w:t>
      </w:r>
    </w:p>
    <w:p>
      <w:pPr>
        <w:jc w:val="center"/>
      </w:pPr>
      <w:r>
        <w:t>_______________________________________________</w:t>
      </w:r>
    </w:p>
    <w:p/>
    <w:p>
      <w:pPr>
        <w:jc w:val="center"/>
      </w:pPr>
      <w:r>
        <w:rPr>
          <w:b/>
        </w:rPr>
        <w:t>HOUSE BILL 2004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Reykdal, Takko, Rodne, Shea, Griffey, Vick, Zeiger, Condotta, Hayes, Buys, Harmsworth, Scott, Pike, Van Werven, Muri, and Wilson</w:t>
      </w:r>
    </w:p>
    <w:p/>
    <w:p>
      <w:r>
        <w:rPr>
          <w:t xml:space="preserve">Read first time 02/06/15.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professional legislative staff member for purposes of personal financial affairs reporting; and amending RCW 42.17A.705.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w:t>
      </w:r>
      <w:r>
        <w:rPr>
          <w:u w:val="single"/>
        </w:rPr>
        <w:t xml:space="preserve">. For purposes of this section, a professional staff member of the legislature does not include a legislative assistant</w:t>
      </w:r>
      <w:r>
        <w:rPr/>
        <w:t xml:space="preserv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
      <w:pPr>
        <w:jc w:val="center"/>
      </w:pPr>
      <w:r>
        <w:rPr>
          <w:b/>
        </w:rPr>
        <w:t>--- END ---</w:t>
      </w:r>
    </w:p>
    <w:sectPr>
      <w:pgNumType w:start="1"/>
      <w:footerReference xmlns:r="http://schemas.openxmlformats.org/officeDocument/2006/relationships" r:id="R96de50cba07444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1dabfba2c44cf7" /><Relationship Type="http://schemas.openxmlformats.org/officeDocument/2006/relationships/footer" Target="/word/footer.xml" Id="R96de50cba07444fd" /></Relationships>
</file>