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5e270e49c49d0" /></Relationships>
</file>

<file path=word/document.xml><?xml version="1.0" encoding="utf-8"?>
<w:document xmlns:w="http://schemas.openxmlformats.org/wordprocessingml/2006/main">
  <w:body>
    <w:p>
      <w:r>
        <w:t>H-1379.1</w:t>
      </w:r>
    </w:p>
    <w:p>
      <w:pPr>
        <w:jc w:val="center"/>
      </w:pPr>
      <w:r>
        <w:t>_______________________________________________</w:t>
      </w:r>
    </w:p>
    <w:p/>
    <w:p>
      <w:pPr>
        <w:jc w:val="center"/>
      </w:pPr>
      <w:r>
        <w:rPr>
          <w:b/>
        </w:rPr>
        <w:t>HOUSE BILL 1996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Bergquist, Gregerson, Walkinshaw, Kagi, Tarleton, Condotta, and Farrell</w:t>
      </w:r>
    </w:p>
    <w:p/>
    <w:p>
      <w:r>
        <w:rPr>
          <w:t xml:space="preserve">Read first time 02/05/15.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music education in elementary schools; amending RCW 28A.150.315 and 28A.300.040;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w:t>
      </w:r>
      <w:r>
        <w:rPr>
          <w:u w:val="single"/>
        </w:rPr>
        <w:t xml:space="preserve">including music</w:t>
      </w:r>
      <w:r>
        <w:rPr/>
        <w:t xml:space="preserve">,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early learning and in collaboration with the nongovernmental private-public partnership designated in RCW 43.215.070, and report the results to the superintendent. The superintendent shall share the results with the director of the department of early learning.</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By the 2019-20 school year, each school district shall phase</w:t>
      </w:r>
      <w:r>
        <w:rPr/>
        <w:noBreakHyphen/>
      </w:r>
      <w:r>
        <w:rPr/>
        <w:t xml:space="preserve">in the opportunity for every pupil attending public elementary school within the district to receive an average of at least one hundred minutes per week of instruction in music as prescribed by rule of the superintendent of public instruction.</w:t>
      </w:r>
    </w:p>
    <w:p>
      <w:pPr>
        <w:spacing w:before="0" w:after="0" w:line="408" w:lineRule="exact"/>
        <w:ind w:left="0" w:right="0" w:firstLine="576"/>
        <w:jc w:val="left"/>
      </w:pPr>
      <w:r>
        <w:rPr/>
        <w:t xml:space="preserve">(2) In exceptional cases, in accordance with RCW 28A.150.203, people of unusual competence but without a teaching certificate may teach students music in the elementary school so long as a certificated person exercises general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w:t>
      </w:r>
      <w:r>
        <w:rPr>
          <w:u w:val="single"/>
        </w:rPr>
        <w:t xml:space="preserve">To promote the adoption of school-based curricula and policies that provide quality daily music education for all elementary school students, and to encourage policies that provide all elementary school students with opportunities for musical activities;</w:t>
      </w:r>
    </w:p>
    <w:p>
      <w:pPr>
        <w:spacing w:before="0" w:after="0" w:line="408" w:lineRule="exact"/>
        <w:ind w:left="0" w:right="0" w:firstLine="576"/>
        <w:jc w:val="left"/>
      </w:pPr>
      <w:r>
        <w:rPr>
          <w:u w:val="single"/>
        </w:rPr>
        <w:t xml:space="preserve">(17)</w:t>
      </w:r>
      <w:r>
        <w:rPr/>
        <w:t xml:space="preserve"> To perform such other duties as may be required by law.</w:t>
      </w:r>
    </w:p>
    <w:p/>
    <w:p>
      <w:pPr>
        <w:jc w:val="center"/>
      </w:pPr>
      <w:r>
        <w:rPr>
          <w:b/>
        </w:rPr>
        <w:t>--- END ---</w:t>
      </w:r>
    </w:p>
    <w:sectPr>
      <w:pgNumType w:start="1"/>
      <w:footerReference xmlns:r="http://schemas.openxmlformats.org/officeDocument/2006/relationships" r:id="R7546347cb8544e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09a1f066a42da" /><Relationship Type="http://schemas.openxmlformats.org/officeDocument/2006/relationships/footer" Target="/word/footer.xml" Id="R7546347cb8544e0a" /></Relationships>
</file>