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0f0ac7d964e45" /></Relationships>
</file>

<file path=word/document.xml><?xml version="1.0" encoding="utf-8"?>
<w:document xmlns:w="http://schemas.openxmlformats.org/wordprocessingml/2006/main">
  <w:body>
    <w:p>
      <w:r>
        <w:t>H-1343.1</w:t>
      </w:r>
    </w:p>
    <w:p>
      <w:pPr>
        <w:jc w:val="center"/>
      </w:pPr>
      <w:r>
        <w:t>_______________________________________________</w:t>
      </w:r>
    </w:p>
    <w:p/>
    <w:p>
      <w:pPr>
        <w:jc w:val="center"/>
      </w:pPr>
      <w:r>
        <w:rPr>
          <w:b/>
        </w:rPr>
        <w:t>HOUSE BILL 1979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Hurst, and Ormsby</w:t>
      </w:r>
    </w:p>
    <w:p/>
    <w:p>
      <w:r>
        <w:rPr>
          <w:t xml:space="preserve">Read first time 02/04/15.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legislators from accepting meals; and amending RCW 42.52.150.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w:t>
      </w:r>
      <w:r>
        <w:rPr>
          <w:u w:val="single"/>
        </w:rPr>
        <w:t xml:space="preserve">Legislators may not accept meals from lobbyists, lobbyist employers, or anyone seeking to influence. A meal, for purposes of this subsection, includes breakfast, lunch, or dinner at a restaurant or a residence where one is expected to sit down and eat.</w:t>
      </w:r>
      <w:r>
        <w:rPr/>
        <w:t xml:space="preserve"> Gifts in the form of food and beverage that exceed fifty dollars on a single occasion shall be reported as provided in chapter 42.17A RCW.</w:t>
      </w:r>
    </w:p>
    <w:p/>
    <w:p>
      <w:pPr>
        <w:jc w:val="center"/>
      </w:pPr>
      <w:r>
        <w:rPr>
          <w:b/>
        </w:rPr>
        <w:t>--- END ---</w:t>
      </w:r>
    </w:p>
    <w:sectPr>
      <w:pgNumType w:start="1"/>
      <w:footerReference xmlns:r="http://schemas.openxmlformats.org/officeDocument/2006/relationships" r:id="Rcf30bbb60fdf4b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42ba46f081422c" /><Relationship Type="http://schemas.openxmlformats.org/officeDocument/2006/relationships/footer" Target="/word/footer.xml" Id="Rcf30bbb60fdf4b69" /></Relationships>
</file>