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1c1a88547247ca" /></Relationships>
</file>

<file path=word/document.xml><?xml version="1.0" encoding="utf-8"?>
<w:document xmlns:w="http://schemas.openxmlformats.org/wordprocessingml/2006/main">
  <w:body>
    <w:p>
      <w:r>
        <w:t>Z-0314.1</w:t>
      </w:r>
    </w:p>
    <w:p>
      <w:pPr>
        <w:jc w:val="center"/>
      </w:pPr>
      <w:r>
        <w:t>_______________________________________________</w:t>
      </w:r>
    </w:p>
    <w:p/>
    <w:p>
      <w:pPr>
        <w:jc w:val="center"/>
      </w:pPr>
      <w:r>
        <w:rPr>
          <w:b/>
        </w:rPr>
        <w:t>HOUSE BILL 1965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Hudgins and Ormsby; by request of Liquor Control Board</w:t>
      </w:r>
    </w:p>
    <w:p/>
    <w:p>
      <w:r>
        <w:rPr>
          <w:t xml:space="preserve">Read first time 02/04/15.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temporary additional fee on licenses and permits issued by the Washington state liquor control board; adding a new section to chapter 66.08 RCW; creating new sections; providing an effective date;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nonrefundable additional fee is imposed on all applications and renewals of licenses and permits relating to spirits, wine, and beer required under chapters 66.20 and 66.24 RCW, with the exception of license issuance fees of seventeen percent of revenues owed by spirits retail licensees under RCW 66.24.630(4)(a), and the five to ten percent license issuance fee for spirits distributors under RCW 66.24.055(3). The fee applies to all applications and license modifications received on or after the effective date of this section and renewals where the date of license expiration is on or after June 30, 2015. The fee is equal to eleven percent of the licensing or permit fee due under chapters 66.20 and 66.24 RCW. If the fee is not a whole dollar amount, the fee must be rounded up to the next whole dollar.</w:t>
      </w:r>
    </w:p>
    <w:p>
      <w:pPr>
        <w:spacing w:before="0" w:after="0" w:line="408" w:lineRule="exact"/>
        <w:ind w:left="0" w:right="0" w:firstLine="576"/>
        <w:jc w:val="left"/>
      </w:pPr>
      <w:r>
        <w:rPr/>
        <w:t xml:space="preserve">(2) This section expires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July 1, 2015, a nonrefundable additional fee is imposed on all applications and renewals of licenses relating to marijuana required under chapter 69.50 RCW. The fee applies to all applications and license modifications received on or after the effective date of this section and renewals where the date of license expiration is on or after June 30, 2015. The fee is equal to eleven percent of the licensing or permit fee otherwise due under chapter 69.50 RCW. If the fee is not a whole dollar amount, the fee must be rounded up to the next whole dollar.</w:t>
      </w:r>
    </w:p>
    <w:p>
      <w:pPr>
        <w:spacing w:before="0" w:after="0" w:line="408" w:lineRule="exact"/>
        <w:ind w:left="0" w:right="0" w:firstLine="576"/>
        <w:jc w:val="left"/>
      </w:pPr>
      <w:r>
        <w:rPr/>
        <w:t xml:space="preserve">(2) This section expires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licensing and enforcement system modernization project account is created in the custody of the state treasurer. All receipts from sections 1 and 2 of this act must be deposited into the account. Expenditures from the account may be only used for the expenses of replacing and modernizing the board's licensing, enforcement, and imaging system. The expenditures may be expended for automation of licenses and permits, electronic payments, data warehousing, project management and system testing, consulting, contracting, and staff time, and any necessary data conversion, software, hardware, and related equipment costs. Only the director of the board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 This section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May 15, 2015.</w:t>
      </w:r>
    </w:p>
    <w:p/>
    <w:p>
      <w:pPr>
        <w:jc w:val="center"/>
      </w:pPr>
      <w:r>
        <w:rPr>
          <w:b/>
        </w:rPr>
        <w:t>--- END ---</w:t>
      </w:r>
    </w:p>
    <w:sectPr>
      <w:pgNumType w:start="1"/>
      <w:footerReference xmlns:r="http://schemas.openxmlformats.org/officeDocument/2006/relationships" r:id="R316a0eb48db44c0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599138d2ac43b2" /><Relationship Type="http://schemas.openxmlformats.org/officeDocument/2006/relationships/footer" Target="/word/footer.xml" Id="R316a0eb48db44c01" /></Relationships>
</file>