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5de605fa954228" /></Relationships>
</file>

<file path=word/document.xml><?xml version="1.0" encoding="utf-8"?>
<w:document xmlns:w="http://schemas.openxmlformats.org/wordprocessingml/2006/main">
  <w:body>
    <w:p>
      <w:r>
        <w:t>H-2152.1</w:t>
      </w:r>
    </w:p>
    <w:p>
      <w:pPr>
        <w:jc w:val="center"/>
      </w:pPr>
      <w:r>
        <w:t>_______________________________________________</w:t>
      </w:r>
    </w:p>
    <w:p/>
    <w:p>
      <w:pPr>
        <w:jc w:val="center"/>
      </w:pPr>
      <w:r>
        <w:rPr>
          <w:b/>
        </w:rPr>
        <w:t>SUBSTITUTE HOUSE BILL 1965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Hudgins and Ormsby; by request of Liquor Control Board)</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temporary additional fee on licenses and permits issued by the Washington state liquor control board; adding a new section to chapter 66.08 RCW; creating new sections; providing an effective date;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nonrefundable additional fee is imposed on all applications and renewals of licenses and permits relating to spirits, wine, and beer required under chapters 66.20 and 66.24 RCW, with the exception of license issuance fees of seventeen percent of revenues owed by spirits retail licensees under RCW 66.24.630(4)(a), and the five to ten percent license issuance fee for spirits distributors under RCW 66.24.055(3). The fee applies to all applications and license modifications received on or after the effective date of this section and renewals where the date of license expiration is on or after June 30, 2015. The fee is equal to eleven percent of the licensing or permit fee due under chapters 66.20 and 66.24 RCW. If the fee is not a whole dollar amount, the fee must be rounded up to the next whole dollar.</w:t>
      </w:r>
    </w:p>
    <w:p>
      <w:pPr>
        <w:spacing w:before="0" w:after="0" w:line="408" w:lineRule="exact"/>
        <w:ind w:left="0" w:right="0" w:firstLine="576"/>
        <w:jc w:val="left"/>
      </w:pPr>
      <w:r>
        <w:rPr/>
        <w:t xml:space="preserve">(2) This section expires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2015, a nonrefundable additional fee is imposed on all applications and renewals of licenses relating to marijuana required under chapter 69.50 RCW. The fee applies to all applications and license modifications received on or after the effective date of this section and renewals where the date of license expiration is on or after June 30, 2015. The fee is equal to eleven percent of the licensing or permit fee otherwise due under chapter 69.50 RCW. If the fee is not a whole dollar amount, the fee must be rounded up to the next whole dollar.</w:t>
      </w:r>
    </w:p>
    <w:p>
      <w:pPr>
        <w:spacing w:before="0" w:after="0" w:line="408" w:lineRule="exact"/>
        <w:ind w:left="0" w:right="0" w:firstLine="576"/>
        <w:jc w:val="left"/>
      </w:pPr>
      <w:r>
        <w:rPr/>
        <w:t xml:space="preserve">(2) This section expires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licensing and enforcement system modernization project account is created in the custody of the state treasurer. All receipts from sections 1 and 2 of this act must be deposited into the account. Expenditures from the account may be only used for the expenses of replacing and modernizing the board's licensing, enforcement, and imaging system. The expenditures may be expended for automation of licenses and permits, electronic payments, data warehousing, project management and system testing, consulting, contracting, and staff time, and any necessary data conversion, software, hardware, and related equipment costs. Before making expenditures from the account, the board must conduct a thorough business process examination to ensure the new system provides efficient and effective service delivery. As part of the examination, the board must evaluate and articulate how any new system procurement serves the current and future needs of the internal and external stakeholders, the customers, and the public. Only the director of the board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This section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May 15, 2015.</w:t>
      </w:r>
    </w:p>
    <w:p/>
    <w:p>
      <w:pPr>
        <w:jc w:val="center"/>
      </w:pPr>
      <w:r>
        <w:rPr>
          <w:b/>
        </w:rPr>
        <w:t>--- END ---</w:t>
      </w:r>
    </w:p>
    <w:sectPr>
      <w:pgNumType w:start="1"/>
      <w:footerReference xmlns:r="http://schemas.openxmlformats.org/officeDocument/2006/relationships" r:id="R003e3d789d79435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040aa0a11645ca" /><Relationship Type="http://schemas.openxmlformats.org/officeDocument/2006/relationships/footer" Target="/word/footer.xml" Id="R003e3d789d794353" /></Relationships>
</file>