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79849ef3634415" /></Relationships>
</file>

<file path=word/document.xml><?xml version="1.0" encoding="utf-8"?>
<w:document xmlns:w="http://schemas.openxmlformats.org/wordprocessingml/2006/main">
  <w:body>
    <w:p>
      <w:r>
        <w:t>H-1273.4</w:t>
      </w:r>
    </w:p>
    <w:p>
      <w:pPr>
        <w:jc w:val="center"/>
      </w:pPr>
      <w:r>
        <w:t>_______________________________________________</w:t>
      </w:r>
    </w:p>
    <w:p/>
    <w:p>
      <w:pPr>
        <w:jc w:val="center"/>
      </w:pPr>
      <w:r>
        <w:rPr>
          <w:b/>
        </w:rPr>
        <w:t>HOUSE BILL 1940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Stokesbary, Fitzgibbon, Ryu, Magendanz, Kochmar, Hargrove, Rodne, Bergquist, Hurst, Gregerson, Orwall, and Jinkins</w:t>
      </w:r>
    </w:p>
    <w:p/>
    <w:p>
      <w:r>
        <w:rPr>
          <w:t xml:space="preserve">Read first time 02/03/15.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levies imposed by qualifying flood control zone districts from certain limitations upon regular property tax levies; amending 2011 1st sp.s. c 28 s 7 (uncodified); creating a new section; and repealing 2011 c 275 ss 4 and 5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The legislature further finds that </w:t>
      </w:r>
      <w:r>
        <w:rPr/>
        <w:t xml:space="preserve">flooding can result in loss of human life, damage to property, destruction of infrastructure, and bring economic activity to a standstill. The legislature further finds that flood control zone districts offer critical services that protect our state by mitigating the devastating impacts of flooding. It is the legislature's public policy objective to maximize available financing tools to flood control zone districts to continue their important work. Therefore, it is the legislature's intent to exempt levies imposed by a qualifying flood control zone district from certain limitations upon regular property tax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c 275 ss 4 and 5 (uncodified)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1st sp.s. c 28 s 7</w:t>
      </w:r>
      <w:r>
        <w:rPr/>
        <w:t xml:space="preserve"> (uncodified) is amended to read as follows:</w:t>
      </w:r>
    </w:p>
    <w:p>
      <w:pPr>
        <w:spacing w:before="0" w:after="0" w:line="408" w:lineRule="exact"/>
        <w:ind w:left="0" w:right="0" w:firstLine="576"/>
        <w:jc w:val="left"/>
      </w:pPr>
      <w:r>
        <w:rPr>
          <w:u w:val="single"/>
        </w:rPr>
        <w:t xml:space="preserve">Except for section 4 of this act, t</w:t>
      </w:r>
      <w:r>
        <w:rPr/>
        <w:t xml:space="preserve">his act expires January 1, 2018.</w:t>
      </w:r>
    </w:p>
    <w:p/>
    <w:p>
      <w:pPr>
        <w:jc w:val="center"/>
      </w:pPr>
      <w:r>
        <w:rPr>
          <w:b/>
        </w:rPr>
        <w:t>--- END ---</w:t>
      </w:r>
    </w:p>
    <w:sectPr>
      <w:pgNumType w:start="1"/>
      <w:footerReference xmlns:r="http://schemas.openxmlformats.org/officeDocument/2006/relationships" r:id="Rd8a48d1debf140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2d948197e14e32" /><Relationship Type="http://schemas.openxmlformats.org/officeDocument/2006/relationships/footer" Target="/word/footer.xml" Id="Rd8a48d1debf1407d" /></Relationships>
</file>