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6c06c9d664755" /></Relationships>
</file>

<file path=word/document.xml><?xml version="1.0" encoding="utf-8"?>
<w:document xmlns:w="http://schemas.openxmlformats.org/wordprocessingml/2006/main">
  <w:body>
    <w:p>
      <w:r>
        <w:t>H-1345.1</w:t>
      </w:r>
    </w:p>
    <w:p>
      <w:pPr>
        <w:jc w:val="center"/>
      </w:pPr>
      <w:r>
        <w:t>_______________________________________________</w:t>
      </w:r>
    </w:p>
    <w:p/>
    <w:p>
      <w:pPr>
        <w:jc w:val="center"/>
      </w:pPr>
      <w:r>
        <w:rPr>
          <w:b/>
        </w:rPr>
        <w:t>HOUSE BILL 1938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Johnson, Ryu, Muri, Van De Wege, Tarleton, Moscoso, S. Hunt, and Tharinger</w:t>
      </w:r>
    </w:p>
    <w:p/>
    <w:p>
      <w:r>
        <w:rPr>
          <w:t xml:space="preserve">Read first time 02/03/15.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chapter to Title 43 RCW; adding a new chapter to Title 82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and there should be a program to publicize these assets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gross revenue" means the total gross income of the business as defined in RCW 82.04.080 less any validly claimed deductions or exempt amounts under chapter 82.04 RCW.</w:t>
      </w:r>
    </w:p>
    <w:p>
      <w:pPr>
        <w:spacing w:before="0" w:after="0" w:line="408" w:lineRule="exact"/>
        <w:ind w:left="0" w:right="0" w:firstLine="576"/>
        <w:jc w:val="left"/>
      </w:pPr>
      <w:r>
        <w:rPr/>
        <w:t xml:space="preserve">(2) "Assessed sectors" means businesses in any of the following industry sectors:</w:t>
      </w:r>
    </w:p>
    <w:p>
      <w:pPr>
        <w:spacing w:before="0" w:after="0" w:line="408" w:lineRule="exact"/>
        <w:ind w:left="0" w:right="0" w:firstLine="576"/>
        <w:jc w:val="left"/>
      </w:pPr>
      <w:r>
        <w:rPr/>
        <w:t xml:space="preserve">(a) Lodging; and</w:t>
      </w:r>
    </w:p>
    <w:p>
      <w:pPr>
        <w:spacing w:before="0" w:after="0" w:line="408" w:lineRule="exact"/>
        <w:ind w:left="0" w:right="0" w:firstLine="576"/>
        <w:jc w:val="left"/>
      </w:pPr>
      <w:r>
        <w:rPr/>
        <w:t xml:space="preserve">(b) The following sectors based on NAICS codes: Food service, attractions and entertainment, retail, and transportation.</w:t>
      </w:r>
    </w:p>
    <w:p>
      <w:pPr>
        <w:spacing w:before="0" w:after="0" w:line="408" w:lineRule="exact"/>
        <w:ind w:left="0" w:right="0" w:firstLine="576"/>
        <w:jc w:val="left"/>
      </w:pPr>
      <w:r>
        <w:rPr/>
        <w:t xml:space="preserve">(3) "Attractions and entertainment" means businesses whose primary business activity is within any of the following NAICS codes or their successor codes: 561510, 561520, 7111, 711211, 711212, 711219, 7113, 711410, 711510, 712110, 712120, 712130, 712190, 713110, 713120, 713290, 713910 (publicly owned only), 713930, and 713990.</w:t>
      </w:r>
    </w:p>
    <w:p>
      <w:pPr>
        <w:spacing w:before="0" w:after="0" w:line="408" w:lineRule="exact"/>
        <w:ind w:left="0" w:right="0" w:firstLine="576"/>
        <w:jc w:val="left"/>
      </w:pPr>
      <w:r>
        <w:rPr/>
        <w:t xml:space="preserve">(4) "Authority" means the Washington tourism marketing authority created in section 3 of this act.</w:t>
      </w:r>
    </w:p>
    <w:p>
      <w:pPr>
        <w:spacing w:before="0" w:after="0" w:line="408" w:lineRule="exact"/>
        <w:ind w:left="0" w:right="0" w:firstLine="576"/>
        <w:jc w:val="left"/>
      </w:pPr>
      <w:r>
        <w:rPr/>
        <w:t xml:space="preserve">(5) "Common control" means any group of companies owned by the same five or fewer people, owning at least eighty percent of the companies. For the purpose of determining annual adjusted gross revenues, companies under common control may choose to be treated as a single company. This definition is derived from the United States employee retirement income security act of 1974 and is consistent and coextensive with regulations prescribed by the United States secretary of the treasury. </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"Director" means the director of the department of revenue.</w:t>
      </w:r>
    </w:p>
    <w:p>
      <w:pPr>
        <w:spacing w:before="0" w:after="0" w:line="408" w:lineRule="exact"/>
        <w:ind w:left="0" w:right="0" w:firstLine="576"/>
        <w:jc w:val="left"/>
      </w:pPr>
      <w:r>
        <w:rPr/>
        <w:t xml:space="preserve">(8) "Food service" means businesses whose primary business activity is within any of the following NAICS codes or their successor codes: 722110, 722212, 722213, and 722410.</w:t>
      </w:r>
    </w:p>
    <w:p>
      <w:pPr>
        <w:spacing w:before="0" w:after="0" w:line="408" w:lineRule="exact"/>
        <w:ind w:left="0" w:right="0" w:firstLine="576"/>
        <w:jc w:val="left"/>
      </w:pPr>
      <w:r>
        <w:rPr/>
        <w:t xml:space="preserve">(9) "Lodging" means the furnishing of lodging taxable by the state under chapter 82.08 RCW at a facility that contains twenty or more lodging units.</w:t>
      </w:r>
    </w:p>
    <w:p>
      <w:pPr>
        <w:spacing w:before="0" w:after="0" w:line="408" w:lineRule="exact"/>
        <w:ind w:left="0" w:right="0" w:firstLine="576"/>
        <w:jc w:val="left"/>
      </w:pPr>
      <w:r>
        <w:rPr/>
        <w:t xml:space="preserve">(10) "NAICS codes" means the North American Industrial Classification System codes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(11) "Retail" means businesses whose primary business activity is within any of the following NAICS codes or their successor codes: 445310, 4481, 448210, 448310, 448320, 451110, 451120, 451211, 452111, 452112, 452910, 452990, 453110, and 453220.</w:t>
      </w:r>
    </w:p>
    <w:p>
      <w:pPr>
        <w:spacing w:before="0" w:after="0" w:line="408" w:lineRule="exact"/>
        <w:ind w:left="0" w:right="0" w:firstLine="576"/>
        <w:jc w:val="left"/>
      </w:pPr>
      <w:r>
        <w:rPr/>
        <w:t xml:space="preserve">(12) "Secretary" means the secretary of state.</w:t>
      </w:r>
    </w:p>
    <w:p>
      <w:pPr>
        <w:spacing w:before="0" w:after="0" w:line="408" w:lineRule="exact"/>
        <w:ind w:left="0" w:right="0" w:firstLine="576"/>
        <w:jc w:val="left"/>
      </w:pPr>
      <w:r>
        <w:rPr/>
        <w:t xml:space="preserve">(13) "Statewide tourism marketing account" means the account created pursuant to section 5 of this act in the custody of the state treasurer. This account shall be the depository for fees collected pursuant to section 6 of this act and charges collected pursuant to section 10 of this act.</w:t>
      </w:r>
    </w:p>
    <w:p>
      <w:pPr>
        <w:spacing w:before="0" w:after="0" w:line="408" w:lineRule="exact"/>
        <w:ind w:left="0" w:right="0" w:firstLine="576"/>
        <w:jc w:val="left"/>
      </w:pPr>
      <w:r>
        <w:rPr/>
        <w:t xml:space="preserve">(14) "Transportation" means businesses whose primary business activity is within any of the following NAICS codes or their successor codes: 483212, 485310, 485320, 485510, 48599, 487, 532111, and 812930.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(3) The authority must establish procedures to:</w:t>
      </w:r>
    </w:p>
    <w:p>
      <w:pPr>
        <w:spacing w:before="0" w:after="0" w:line="408" w:lineRule="exact"/>
        <w:ind w:left="0" w:right="0" w:firstLine="576"/>
        <w:jc w:val="left"/>
      </w:pPr>
      <w:r>
        <w:rPr/>
        <w:t xml:space="preserve">(a) Notify businesses within the assessed sectors included in section 2(2)(b) of this act of the fee imposed in section 6 of this act; and</w:t>
      </w:r>
    </w:p>
    <w:p>
      <w:pPr>
        <w:spacing w:before="0" w:after="0" w:line="408" w:lineRule="exact"/>
        <w:ind w:left="0" w:right="0" w:firstLine="576"/>
        <w:jc w:val="left"/>
      </w:pPr>
      <w:r>
        <w:rPr/>
        <w:t xml:space="preserve">(b) Maintain a database of businesses subject to the fee under section 6 of this act that can be accessed by the secretary.</w:t>
      </w:r>
    </w:p>
    <w:p>
      <w:pPr>
        <w:spacing w:before="0" w:after="0" w:line="408" w:lineRule="exact"/>
        <w:ind w:left="0" w:right="0" w:firstLine="576"/>
        <w:jc w:val="left"/>
      </w:pPr>
      <w:r>
        <w:rPr/>
        <w:t xml:space="preserve">(4) Membership in the authority includes all businesses subject to section 6 of this act or the charge imposed in section 10 of this act.</w:t>
      </w:r>
    </w:p>
    <w:p>
      <w:pPr>
        <w:spacing w:before="0" w:after="0" w:line="408" w:lineRule="exact"/>
        <w:ind w:left="0" w:right="0" w:firstLine="576"/>
        <w:jc w:val="left"/>
      </w:pPr>
      <w:r>
        <w:rPr/>
        <w:t xml:space="preserve">(5) The office of the secretary of state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shall be governed by a board of directors. The board of directors shall be composed of thirteen members.</w:t>
      </w:r>
    </w:p>
    <w:p>
      <w:pPr>
        <w:spacing w:before="0" w:after="0" w:line="408" w:lineRule="exact"/>
        <w:ind w:left="0" w:right="0" w:firstLine="576"/>
        <w:jc w:val="left"/>
      </w:pPr>
      <w:r>
        <w:rPr/>
        <w:t xml:space="preserve">(b) Membership shall be allocated to the assessed sectors as follows:</w:t>
      </w:r>
    </w:p>
    <w:p>
      <w:pPr>
        <w:spacing w:before="0" w:after="0" w:line="408" w:lineRule="exact"/>
        <w:ind w:left="0" w:right="0" w:firstLine="576"/>
        <w:jc w:val="left"/>
      </w:pPr>
      <w:r>
        <w:rPr/>
        <w:t xml:space="preserve">(i) Lodging, four members;</w:t>
      </w:r>
    </w:p>
    <w:p>
      <w:pPr>
        <w:spacing w:before="0" w:after="0" w:line="408" w:lineRule="exact"/>
        <w:ind w:left="0" w:right="0" w:firstLine="576"/>
        <w:jc w:val="left"/>
      </w:pPr>
      <w:r>
        <w:rPr/>
        <w:t xml:space="preserve">(ii) Food service, three members;</w:t>
      </w:r>
    </w:p>
    <w:p>
      <w:pPr>
        <w:spacing w:before="0" w:after="0" w:line="408" w:lineRule="exact"/>
        <w:ind w:left="0" w:right="0" w:firstLine="576"/>
        <w:jc w:val="left"/>
      </w:pPr>
      <w:r>
        <w:rPr/>
        <w:t xml:space="preserve">(iii) Retail, two members;</w:t>
      </w:r>
    </w:p>
    <w:p>
      <w:pPr>
        <w:spacing w:before="0" w:after="0" w:line="408" w:lineRule="exact"/>
        <w:ind w:left="0" w:right="0" w:firstLine="576"/>
        <w:jc w:val="left"/>
      </w:pPr>
      <w:r>
        <w:rPr/>
        <w:t xml:space="preserve">(iv) Attractions and entertainment, one member; and</w:t>
      </w:r>
    </w:p>
    <w:p>
      <w:pPr>
        <w:spacing w:before="0" w:after="0" w:line="408" w:lineRule="exact"/>
        <w:ind w:left="0" w:right="0" w:firstLine="576"/>
        <w:jc w:val="left"/>
      </w:pPr>
      <w:r>
        <w:rPr/>
        <w:t xml:space="preserve">(v) Transportation, one member.</w:t>
      </w:r>
    </w:p>
    <w:p>
      <w:pPr>
        <w:spacing w:before="0" w:after="0" w:line="408" w:lineRule="exact"/>
        <w:ind w:left="0" w:right="0" w:firstLine="576"/>
        <w:jc w:val="left"/>
      </w:pPr>
      <w:r>
        <w:rPr/>
        <w:t xml:space="preserve">(c) In addition, there shall be two members representing regional destination marketing organizations.</w:t>
      </w:r>
    </w:p>
    <w:p>
      <w:pPr>
        <w:spacing w:before="0" w:after="0" w:line="408" w:lineRule="exact"/>
        <w:ind w:left="0" w:right="0" w:firstLine="576"/>
        <w:jc w:val="left"/>
      </w:pPr>
      <w:r>
        <w:rPr/>
        <w:t xml:space="preserve">(d) The secretary and the director shall serve as ex officio voting members of the authority.</w:t>
      </w:r>
    </w:p>
    <w:p>
      <w:pPr>
        <w:spacing w:before="0" w:after="0" w:line="408" w:lineRule="exact"/>
        <w:ind w:left="0" w:right="0" w:firstLine="576"/>
        <w:jc w:val="left"/>
      </w:pPr>
      <w:r>
        <w:rPr/>
        <w:t xml:space="preserve">(2) The secretary and the director must jointly make appointments to the board from nominations submitted by organizations representing assessed sectors and members of the authority. Appointments shall reflect diversity in geography, size of businesses, gender, and ethnicity.</w:t>
      </w:r>
    </w:p>
    <w:p>
      <w:pPr>
        <w:spacing w:before="0" w:after="0" w:line="408" w:lineRule="exact"/>
        <w:ind w:left="0" w:right="0" w:firstLine="576"/>
        <w:jc w:val="left"/>
      </w:pPr>
      <w:r>
        <w:rPr/>
        <w:t xml:space="preserve">(3)(a) Half of the initial appointments under subsection (1)(b)(i), (ii), and (iii) of this section shall be for two years. The initial appointment under subsection (1)(b)(iv) of this section shall be for four years. The initial appointment under subsection (1)(b)(v) of this section shall be for two years.</w:t>
      </w:r>
    </w:p>
    <w:p>
      <w:pPr>
        <w:spacing w:before="0" w:after="0" w:line="408" w:lineRule="exact"/>
        <w:ind w:left="0" w:right="0" w:firstLine="576"/>
        <w:jc w:val="left"/>
      </w:pPr>
      <w:r>
        <w:rPr/>
        <w:t xml:space="preserve">(b) After the initial appointments, all appointments shall be for four years.</w:t>
      </w:r>
    </w:p>
    <w:p>
      <w:pPr>
        <w:spacing w:before="0" w:after="0" w:line="408" w:lineRule="exact"/>
        <w:ind w:left="0" w:right="0" w:firstLine="576"/>
        <w:jc w:val="left"/>
      </w:pPr>
      <w:r>
        <w:rPr/>
        <w:t xml:space="preserve">(4) The board shall select from its membership the chair of the board and such other officers as it deems appropriate.</w:t>
      </w:r>
    </w:p>
    <w:p>
      <w:pPr>
        <w:spacing w:before="0" w:after="0" w:line="408" w:lineRule="exact"/>
        <w:ind w:left="0" w:right="0" w:firstLine="576"/>
        <w:jc w:val="left"/>
      </w:pPr>
      <w:r>
        <w:rPr/>
        <w:t xml:space="preserve">(5) A majority of the board constitutes a quorum.</w:t>
      </w:r>
    </w:p>
    <w:p>
      <w:pPr>
        <w:spacing w:before="0" w:after="0" w:line="408" w:lineRule="exact"/>
        <w:ind w:left="0" w:right="0" w:firstLine="576"/>
        <w:jc w:val="left"/>
      </w:pPr>
      <w:r>
        <w:rPr/>
        <w:t xml:space="preserve">(6) The board shall create its own bylaws in accordance with the laws of the state of Washington.</w:t>
      </w:r>
    </w:p>
    <w:p>
      <w:pPr>
        <w:spacing w:before="0" w:after="0" w:line="408" w:lineRule="exact"/>
        <w:ind w:left="0" w:right="0" w:firstLine="576"/>
        <w:jc w:val="left"/>
      </w:pPr>
      <w:r>
        <w:rPr/>
        <w:t xml:space="preserve">(7)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(8) If a vacancy occurs on the board, the secretary and the director shall appoint a replacement from the same sector and from recommendations provided by businesses in that sector. The appointed member shall serve the remainder of the term.</w:t>
      </w:r>
    </w:p>
    <w:p>
      <w:pPr>
        <w:spacing w:before="0" w:after="0" w:line="408" w:lineRule="exact"/>
        <w:ind w:left="0" w:right="0" w:firstLine="576"/>
        <w:jc w:val="left"/>
      </w:pPr>
      <w:r>
        <w:rPr/>
        <w:t xml:space="preserve">(9) The members of the board serve without compensation but are entitled to reimbursement, solely from the funds of the authority, for expenses incurred in the discharge of their duties.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fees under section 6 of this act and the charge on lodging businesses imposed in section 10 of this act shall be deposited into the account. Expenditures from the account may be used only for expenses related to implementation of a statewide tourism marketing program, including continuing administrative expenses of the department of revenue and the secretary associated with administration of section 6 of this act and chapter 82.-- RCW (the new chapter created in section 16 of this act). Only the chair of the authority or the chair's designee may authorize expenditures from the account. The account is not subject to appropriation or allotment procedures for expenditures.</w:t>
      </w:r>
    </w:p>
    <w:p>
      <w:pPr>
        <w:spacing w:before="0" w:after="0" w:line="408" w:lineRule="exact"/>
        <w:ind w:left="0" w:right="0" w:firstLine="576"/>
        <w:jc w:val="left"/>
      </w:pPr>
      <w:r>
        <w:rPr/>
        <w:t xml:space="preserve">(2) Expenses of the department of revenue and the secretary to administer section 6 of this act and chapter 82.-- RCW (the new chapter created in section 16 of this act) must be reimbursed from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FEES.</w:t>
      </w:r>
      <w:r>
        <w:t xml:space="preserve">  </w:t>
      </w:r>
      <w:r>
        <w:rPr/>
        <w:t xml:space="preserve">(1) Fees shall be imposed on all businesses in those assessed sectors included in section 2(2)(b) of this act and that are required to annually renew a license or registration with the secretary.</w:t>
      </w:r>
    </w:p>
    <w:p>
      <w:pPr>
        <w:spacing w:before="0" w:after="0" w:line="408" w:lineRule="exact"/>
        <w:ind w:left="0" w:right="0" w:firstLine="576"/>
        <w:jc w:val="left"/>
      </w:pPr>
      <w:r>
        <w:rPr/>
        <w:t xml:space="preserve">(2) All revenue from fees imposed under this section shall be deposited in the statewide tourism marketing account.</w:t>
      </w:r>
    </w:p>
    <w:p>
      <w:pPr>
        <w:spacing w:before="0" w:after="0" w:line="408" w:lineRule="exact"/>
        <w:ind w:left="0" w:right="0" w:firstLine="576"/>
        <w:jc w:val="left"/>
      </w:pPr>
      <w:r>
        <w:rPr/>
        <w:t xml:space="preserve">(3) Food service fees shall be assessed using the definition of common control.</w:t>
      </w:r>
    </w:p>
    <w:p>
      <w:pPr>
        <w:spacing w:before="0" w:after="0" w:line="408" w:lineRule="exact"/>
        <w:ind w:left="0" w:right="0" w:firstLine="576"/>
        <w:jc w:val="left"/>
      </w:pPr>
      <w:r>
        <w:rPr/>
        <w:t xml:space="preserve">(4) Beginning on the effective date of this section, the fees imposed in subsection (1) of this section shall be collected annually from each business subject to the fee. The fee is due on the due date of the business's annual license or registration renewal with the secretary. The amount of the fee is based on the business's annual adjusted gross revenue from the previous calendar year. If a business did not operate during the entire previous calendar year and the business is the result of a mere change in identity or form of ownership of a business that did operate during the previous calendar year, the fee under this section is based on the combined annual adjusted gross revenues of both businesses from the previous calendar year. The rate of the fee imposed in this section is as provided in this subsection (4).</w:t>
      </w:r>
    </w:p>
    <w:p>
      <w:pPr>
        <w:spacing w:before="0" w:after="0" w:line="408" w:lineRule="exact"/>
        <w:ind w:left="0" w:right="0" w:firstLine="576"/>
        <w:jc w:val="left"/>
      </w:pPr>
      <w:r>
        <w:rPr/>
        <w:t xml:space="preserve">(a) Food service.</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$1,500,000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525</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$2,499,999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700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$2,500,000 – $2,999,999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875</w:t>
            </w:r>
          </w:p>
        </w:tc>
      </w:tr>
      <w:tr>
        <w:tc>
          <w:tcPr>
            <w:tcW w:w="2430" w:type="dxa"/>
            <w:vAlign w:val="top"/>
          </w:tcPr>
          <w:p>
            <w:pPr>
              <w:spacing w:before="0" w:after="0" w:line="408" w:lineRule="exact"/>
              <w:ind w:left="0" w:right="0" w:firstLine="0"/>
              <w:jc w:val="left"/>
            </w:pPr>
            <w:r>
              <w:rPr>
                <w:rFonts w:ascii="Times New Roman" w:hAnsi="Times New Roman"/>
                <w:sz w:val="20"/>
              </w:rPr>
              <w:t xml:space="preserve">$3,000,000 – $3,499,999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1,050</w:t>
            </w:r>
          </w:p>
        </w:tc>
      </w:tr>
      <w:tr>
        <w:tc>
          <w:tcPr>
            <w:tcW w:w="2430" w:type="dxa"/>
            <w:vAlign w:val="top"/>
          </w:tcPr>
          <w:p>
            <w:pPr>
              <w:spacing w:before="0" w:after="0" w:line="408" w:lineRule="exact"/>
              <w:ind w:left="0" w:right="0" w:firstLine="0"/>
              <w:jc w:val="left"/>
            </w:pPr>
            <w:r>
              <w:rPr>
                <w:rFonts w:ascii="Times New Roman" w:hAnsi="Times New Roman"/>
                <w:sz w:val="20"/>
              </w:rPr>
              <w:t xml:space="preserve">$3,500,000 – $3,999,999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1,225</w:t>
            </w:r>
          </w:p>
        </w:tc>
      </w:tr>
      <w:tr>
        <w:tc>
          <w:tcPr>
            <w:tcW w:w="2430" w:type="dxa"/>
            <w:vAlign w:val="top"/>
          </w:tcPr>
          <w:p>
            <w:pPr>
              <w:spacing w:before="0" w:after="0" w:line="408" w:lineRule="exact"/>
              <w:ind w:left="0" w:right="0" w:firstLine="0"/>
              <w:jc w:val="left"/>
            </w:pPr>
            <w:r>
              <w:rPr>
                <w:rFonts w:ascii="Times New Roman" w:hAnsi="Times New Roman"/>
                <w:sz w:val="20"/>
              </w:rPr>
              <w:t xml:space="preserve">$4,000,000 – $4,499,999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$4,500,000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1,575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$5,000,000 – $5,499,999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1,750</w:t>
            </w:r>
          </w:p>
        </w:tc>
      </w:tr>
      <w:tr>
        <w:tc>
          <w:tcPr>
            <w:tcW w:w="2430" w:type="dxa"/>
            <w:vAlign w:val="top"/>
          </w:tcPr>
          <w:p>
            <w:pPr>
              <w:spacing w:before="0" w:after="0" w:line="408" w:lineRule="exact"/>
              <w:ind w:left="0" w:right="0" w:firstLine="0"/>
              <w:jc w:val="left"/>
            </w:pPr>
            <w:r>
              <w:rPr>
                <w:rFonts w:ascii="Times New Roman" w:hAnsi="Times New Roman"/>
                <w:sz w:val="20"/>
              </w:rPr>
              <w:t xml:space="preserve">$5,500,000 – $5,999,999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1,925</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$6,000,000 – $6,499,999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$6,500,000 – $6,999,999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2,275</w:t>
            </w:r>
          </w:p>
        </w:tc>
      </w:tr>
      <w:tr>
        <w:tc>
          <w:tcPr>
            <w:tcW w:w="2430" w:type="dxa"/>
            <w:vAlign w:val="top"/>
          </w:tcPr>
          <w:p>
            <w:pPr>
              <w:spacing w:before="0" w:after="0" w:line="408" w:lineRule="exact"/>
              <w:ind w:left="0" w:right="0" w:firstLine="0"/>
              <w:jc w:val="left"/>
            </w:pPr>
            <w:r>
              <w:rPr>
                <w:rFonts w:ascii="Times New Roman" w:hAnsi="Times New Roman"/>
                <w:sz w:val="20"/>
              </w:rPr>
              <w:t xml:space="preserve">$7,000,000 – $7,499,999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2,450</w:t>
            </w:r>
          </w:p>
        </w:tc>
      </w:tr>
      <w:tr>
        <w:tc>
          <w:tcPr>
            <w:tcW w:w="2430" w:type="dxa"/>
            <w:vAlign w:val="top"/>
          </w:tcPr>
          <w:p>
            <w:pPr>
              <w:spacing w:before="0" w:after="0" w:line="408" w:lineRule="exact"/>
              <w:ind w:left="0" w:right="0" w:firstLine="0"/>
              <w:jc w:val="left"/>
            </w:pPr>
            <w:r>
              <w:rPr>
                <w:rFonts w:ascii="Times New Roman" w:hAnsi="Times New Roman"/>
                <w:sz w:val="20"/>
              </w:rPr>
              <w:t xml:space="preserve">$7,500,000 – $7,999,999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2,625</w:t>
            </w:r>
          </w:p>
        </w:tc>
      </w:tr>
      <w:tr>
        <w:tc>
          <w:tcPr>
            <w:tcW w:w="2430" w:type="dxa"/>
            <w:vAlign w:val="top"/>
          </w:tcPr>
          <w:p>
            <w:pPr>
              <w:spacing w:before="0" w:after="0" w:line="408" w:lineRule="exact"/>
              <w:ind w:left="0" w:right="0" w:firstLine="0"/>
              <w:jc w:val="left"/>
            </w:pPr>
            <w:r>
              <w:rPr>
                <w:rFonts w:ascii="Times New Roman" w:hAnsi="Times New Roman"/>
                <w:sz w:val="20"/>
              </w:rPr>
              <w:t xml:space="preserve">$8,000,000 – $8,499,999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2,800</w:t>
            </w:r>
          </w:p>
        </w:tc>
      </w:tr>
      <w:tr>
        <w:tc>
          <w:tcPr>
            <w:tcW w:w="2430" w:type="dxa"/>
            <w:vAlign w:val="top"/>
          </w:tcPr>
          <w:p>
            <w:pPr>
              <w:spacing w:before="0" w:after="0" w:line="408" w:lineRule="exact"/>
              <w:ind w:left="0" w:right="0" w:firstLine="0"/>
              <w:jc w:val="left"/>
            </w:pPr>
            <w:r>
              <w:rPr>
                <w:rFonts w:ascii="Times New Roman" w:hAnsi="Times New Roman"/>
                <w:sz w:val="20"/>
              </w:rPr>
              <w:t xml:space="preserve">$8,500,000 – $8,999,999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2,975</w:t>
            </w:r>
          </w:p>
        </w:tc>
      </w:tr>
      <w:tr>
        <w:tc>
          <w:tcPr>
            <w:tcW w:w="2430" w:type="dxa"/>
            <w:vAlign w:val="top"/>
          </w:tcPr>
          <w:p>
            <w:pPr>
              <w:spacing w:before="0" w:after="0" w:line="408" w:lineRule="exact"/>
              <w:ind w:left="0" w:right="0" w:firstLine="0"/>
              <w:jc w:val="left"/>
            </w:pPr>
            <w:r>
              <w:rPr>
                <w:rFonts w:ascii="Times New Roman" w:hAnsi="Times New Roman"/>
                <w:sz w:val="20"/>
              </w:rPr>
              <w:t xml:space="preserve">$9,000,000 – $9,499,999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3,150</w:t>
            </w:r>
          </w:p>
        </w:tc>
      </w:tr>
      <w:tr>
        <w:tc>
          <w:tcPr>
            <w:tcW w:w="2430" w:type="dxa"/>
            <w:vAlign w:val="top"/>
          </w:tcPr>
          <w:p>
            <w:pPr>
              <w:spacing w:before="0" w:after="0" w:line="408" w:lineRule="exact"/>
              <w:ind w:left="0" w:right="0" w:firstLine="0"/>
              <w:jc w:val="left"/>
            </w:pPr>
            <w:r>
              <w:rPr>
                <w:rFonts w:ascii="Times New Roman" w:hAnsi="Times New Roman"/>
                <w:sz w:val="20"/>
              </w:rPr>
              <w:t xml:space="preserve">$9,500,000 – $9,999,999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3,325</w:t>
            </w:r>
          </w:p>
        </w:tc>
      </w:tr>
      <w:tr>
        <w:tc>
          <w:tcPr>
            <w:tcW w:w="2430" w:type="dxa"/>
            <w:vAlign w:val="top"/>
          </w:tcPr>
          <w:p>
            <w:pPr>
              <w:spacing w:before="0" w:after="0" w:line="408" w:lineRule="exact"/>
              <w:ind w:left="0" w:right="0" w:firstLine="0"/>
              <w:jc w:val="left"/>
            </w:pPr>
            <w:r>
              <w:rPr>
                <w:rFonts w:ascii="Times New Roman" w:hAnsi="Times New Roman"/>
                <w:sz w:val="20"/>
              </w:rPr>
              <w:t xml:space="preserve">Over $10,000,000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3,500</w:t>
            </w:r>
          </w:p>
        </w:tc>
      </w:tr>
    </w:tbl>
    <w:p>
      <w:pPr>
        <w:spacing w:before="0" w:after="0" w:line="408" w:lineRule="exact"/>
        <w:ind w:left="0" w:right="0" w:firstLine="576"/>
        <w:jc w:val="left"/>
      </w:pPr>
      <w:r>
        <w:rPr/>
        <w:t xml:space="preserve">(b) Attractions and entertainment.</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(c) Retail.</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200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600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1,200</w:t>
            </w:r>
          </w:p>
        </w:tc>
      </w:tr>
    </w:tbl>
    <w:p>
      <w:pPr>
        <w:spacing w:before="0" w:after="0" w:line="408" w:lineRule="exact"/>
        <w:ind w:left="0" w:right="0" w:firstLine="576"/>
        <w:jc w:val="left"/>
      </w:pPr>
      <w:r>
        <w:rPr/>
        <w:t xml:space="preserve">(d) Transportation.</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(5) Fees shall be collected through the secretary's registration system for corporations and limited liability companies in collaboration with the department's business licensing service.</w:t>
      </w:r>
    </w:p>
    <w:p>
      <w:pPr>
        <w:spacing w:before="0" w:after="0" w:line="408" w:lineRule="exact"/>
        <w:ind w:left="0" w:right="0" w:firstLine="576"/>
        <w:jc w:val="left"/>
      </w:pPr>
      <w:r>
        <w:rPr/>
        <w:t xml:space="preserve">(6) The department must send a list of businesses in assessed sectors to the secretary and the authority annually at a time and in a form and format as mutually agreed to by the department, the secretary, and the authority. The list must identify lodging separately from other assessed sectors.</w:t>
      </w:r>
    </w:p>
    <w:p>
      <w:pPr>
        <w:spacing w:before="0" w:after="0" w:line="408" w:lineRule="exact"/>
        <w:ind w:left="0" w:right="0" w:firstLine="576"/>
        <w:jc w:val="left"/>
      </w:pPr>
      <w:r>
        <w:rPr/>
        <w:t xml:space="preserve">(7) Any business subject to a fee under this section may be audited by the department to determine if the correct fee was paid.</w:t>
      </w:r>
    </w:p>
    <w:p>
      <w:pPr>
        <w:spacing w:before="0" w:after="0" w:line="408" w:lineRule="exact"/>
        <w:ind w:left="0" w:right="0" w:firstLine="576"/>
        <w:jc w:val="left"/>
      </w:pPr>
      <w:r>
        <w:rPr/>
        <w:t xml:space="preserve">(8) If the legislature redirects or changes the use of the statewide tourism marketing account to a use other than that authorized in this chapter, fees shall not be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shall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w:t>
      </w:r>
    </w:p>
    <w:p>
      <w:pPr>
        <w:spacing w:before="0" w:after="0" w:line="408" w:lineRule="exact"/>
        <w:ind w:left="0" w:right="0" w:firstLine="576"/>
        <w:jc w:val="left"/>
      </w:pPr>
      <w:r>
        <w:rPr/>
        <w:t xml:space="preserve">(b) Contracting for the evaluation of the impact of the statewide tourism marketing program;</w:t>
      </w:r>
    </w:p>
    <w:p>
      <w:pPr>
        <w:spacing w:before="0" w:after="0" w:line="408" w:lineRule="exact"/>
        <w:ind w:left="0" w:right="0" w:firstLine="576"/>
        <w:jc w:val="left"/>
      </w:pPr>
      <w:r>
        <w:rPr/>
        <w:t xml:space="preserve">(c) Paying for the costs to administer section 6 of this act and chapter 82.--- RCW (the new chapter created in section 16 of this act) as provided in section 5(2) of this act; and</w:t>
      </w:r>
    </w:p>
    <w:p>
      <w:pPr>
        <w:spacing w:before="0" w:after="0" w:line="408" w:lineRule="exact"/>
        <w:ind w:left="0" w:right="0" w:firstLine="576"/>
        <w:jc w:val="left"/>
      </w:pPr>
      <w:r>
        <w:rPr/>
        <w:t xml:space="preserve">(d) Paying for other administrative expenses of the authority, which shall not exceed one and one-half percent of funds collected in any fiscal year.</w:t>
      </w:r>
    </w:p>
    <w:p>
      <w:pPr>
        <w:spacing w:before="0" w:after="0" w:line="408" w:lineRule="exact"/>
        <w:ind w:left="0" w:right="0" w:firstLine="576"/>
        <w:jc w:val="left"/>
      </w:pPr>
      <w:r>
        <w:rPr/>
        <w:t xml:space="preserve">(2) In entering into a contract for a statewide marketing program, the authority must consider a statewide nonprofit organization governed by a board reflecting all sectors of the tourism industry and having geographically diverse representation. If, after appropriate notice, the authority determines that there is only one qualified entity, then the authority may issue a sole source contract. The authority shall include a provision in such a contract that will enable the contractor to pay expenses in a timely manner.</w:t>
      </w:r>
    </w:p>
    <w:p>
      <w:pPr>
        <w:spacing w:before="0" w:after="0" w:line="408" w:lineRule="exact"/>
        <w:ind w:left="0" w:right="0" w:firstLine="576"/>
        <w:jc w:val="left"/>
      </w:pPr>
      <w:r>
        <w:rPr/>
        <w:t xml:space="preserve">(3) The authority must avoid creating new infrastructure already available through private industry in the state.</w:t>
      </w:r>
    </w:p>
    <w:p>
      <w:pPr>
        <w:spacing w:before="0" w:after="0" w:line="408" w:lineRule="exact"/>
        <w:ind w:left="0" w:right="0" w:firstLine="576"/>
        <w:jc w:val="left"/>
      </w:pPr>
      <w:r>
        <w:rPr/>
        <w:t xml:space="preserve">(4)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0" w:after="0" w:line="408" w:lineRule="exact"/>
        <w:ind w:left="0" w:right="0" w:firstLine="576"/>
        <w:jc w:val="left"/>
      </w:pPr>
      <w:r>
        <w:rPr/>
        <w:t xml:space="preserve">(5) The authority may suspend the fees if the authority, by a majority vote, determines that the program as implemented pursuant to subsection (1)(a) of this section is not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"Lodging business" means a person that furnishes lodging  taxable by the state under chapter 82.08 RCW at a facility that has twenty or more lodging units.</w:t>
      </w:r>
    </w:p>
    <w:p>
      <w:pPr>
        <w:spacing w:before="0" w:after="0" w:line="408" w:lineRule="exact"/>
        <w:ind w:left="0" w:right="0" w:firstLine="576"/>
        <w:jc w:val="left"/>
      </w:pPr>
      <w:r>
        <w:rPr/>
        <w:t xml:space="preserve">(2) "Occupied room" means a room in a facility operated by a lodging business, if the room is used by an overnight guest for consideration.</w:t>
      </w:r>
    </w:p>
    <w:p>
      <w:pPr>
        <w:spacing w:before="0" w:after="0" w:line="408" w:lineRule="exact"/>
        <w:ind w:left="0" w:right="0" w:firstLine="576"/>
        <w:jc w:val="left"/>
      </w:pPr>
      <w:r>
        <w:rPr/>
        <w:t xml:space="preserve">(3) Unless the context clearly requires otherwise, the definitions in chapters 82.04, 82.08, and 82.12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imposed on every lodging business in the state a charge of fifteen cents per occupied room per night. The charge is the sole obligation of the lodging business, but the lodging business may separately itemize the charge on any invoice or other document of sale provided to the guest.</w:t>
      </w:r>
    </w:p>
    <w:p>
      <w:pPr>
        <w:spacing w:before="0" w:after="0" w:line="408" w:lineRule="exact"/>
        <w:ind w:left="0" w:right="0" w:firstLine="576"/>
        <w:jc w:val="left"/>
      </w:pPr>
      <w:r>
        <w:rPr/>
        <w:t xml:space="preserve">(2) Chapter 82.32 RCW applies to the charge imposed in this section. The due dates, reporting periods, and return requirements applicable to a lodging business for the taxes imposed in chapters 82.04 and 82.08 RCW also apply to the charge on lodging imposed in this section.</w:t>
      </w:r>
    </w:p>
    <w:p>
      <w:pPr>
        <w:spacing w:before="0" w:after="0" w:line="408" w:lineRule="exact"/>
        <w:ind w:left="0" w:right="0" w:firstLine="576"/>
        <w:jc w:val="left"/>
      </w:pPr>
      <w:r>
        <w:rPr/>
        <w:t xml:space="preserve">(3) All revenue collected under this section, including penalties and interest on delinquent lodging charges, must be deposited in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charge on lodging authorized under this chapter does not apply with respect to lodging if the charge made for the lodging is not subject to the tax imposed in chapter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434dd76475245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4e2155726347dc" /><Relationship Type="http://schemas.openxmlformats.org/officeDocument/2006/relationships/footer" Target="/word/footer.xml" Id="Ra434dd7647524570" /></Relationships>
</file>