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ae3c0ef194791" /></Relationships>
</file>

<file path=word/document.xml><?xml version="1.0" encoding="utf-8"?>
<w:document xmlns:w="http://schemas.openxmlformats.org/wordprocessingml/2006/main">
  <w:body>
    <w:p>
      <w:r>
        <w:t>H-1046.2</w:t>
      </w:r>
    </w:p>
    <w:p>
      <w:pPr>
        <w:jc w:val="center"/>
      </w:pPr>
      <w:r>
        <w:t>_______________________________________________</w:t>
      </w:r>
    </w:p>
    <w:p/>
    <w:p>
      <w:pPr>
        <w:jc w:val="center"/>
      </w:pPr>
      <w:r>
        <w:rPr>
          <w:b/>
        </w:rPr>
        <w:t>HOUSE BILL 1909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Walsh, Kagi, Tarleton, Appleton, and Ryu</w:t>
      </w:r>
    </w:p>
    <w:p/>
    <w:p>
      <w:r>
        <w:rPr>
          <w:t xml:space="preserve">Read first time 02/02/15.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options for individuals with developmental disabilities; amending RCW 71A.12.290;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assure that individuals with developmental disabilities and their families have flexibility and choice in employment and community access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r>
        <w:t>))</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w:t>
      </w:r>
      <w:r>
        <w:rPr>
          <w:u w:val="single"/>
        </w:rPr>
        <w:t xml:space="preserve">The department shall pilot a program that allows clients to be able to choose either a qualified home care agency subject to RCW 74.39A.325 and 74.39A.326 or individual provider to provide community access services. This pilot must include at least two different pilot sites that do not currently allow individual providers to provide community access services, with one rural pilot site and one urban pilot site. The department shall provide a report to the appropriate committees of the legislature by December 31, 2016, with detailed information regarding implementation of these pilots. At a minimum, this report must include the number of home care agency and individual providers who offered this service in the pilot sites, the number of clients in the pilot sites accessing community access services through individual providers, and a discussion of any issues that would need to be addressed before statewide implementation of these options.</w:t>
      </w:r>
    </w:p>
    <w:p>
      <w:pPr>
        <w:spacing w:before="0" w:after="0" w:line="408" w:lineRule="exact"/>
        <w:ind w:left="0" w:right="0" w:firstLine="576"/>
        <w:jc w:val="left"/>
      </w:pPr>
      <w:r>
        <w:rPr>
          <w:u w:val="single"/>
        </w:rPr>
        <w:t xml:space="preserve">(6)</w:t>
      </w:r>
      <w:r>
        <w:rPr/>
        <w:t xml:space="preserve"> The department shall develop rules to allow for an exception to the requirement that a client participate in an employment program for nine months prior to transitioning to a community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ddc5c22a67b4c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4770f94c94b13" /><Relationship Type="http://schemas.openxmlformats.org/officeDocument/2006/relationships/footer" Target="/word/footer.xml" Id="Rbddc5c22a67b4cde" /></Relationships>
</file>