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bd6431ce244d28" /></Relationships>
</file>

<file path=word/document.xml><?xml version="1.0" encoding="utf-8"?>
<w:document xmlns:w="http://schemas.openxmlformats.org/wordprocessingml/2006/main">
  <w:body>
    <w:p>
      <w:r>
        <w:t>H-1249.1</w:t>
      </w:r>
    </w:p>
    <w:p>
      <w:pPr>
        <w:jc w:val="center"/>
      </w:pPr>
      <w:r>
        <w:t>_______________________________________________</w:t>
      </w:r>
    </w:p>
    <w:p/>
    <w:p>
      <w:pPr>
        <w:jc w:val="center"/>
      </w:pPr>
      <w:r>
        <w:rPr>
          <w:b/>
        </w:rPr>
        <w:t>HOUSE BILL 1886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 Hunt, Shea, Taylor, Young, Klippert, Dent, Haler, Wilcox, Short, Wilson, Scott, Condotta, Harris, Schmick, and Buys</w:t>
      </w:r>
    </w:p>
    <w:p/>
    <w:p>
      <w:r>
        <w:rPr>
          <w:t xml:space="preserve">Read first time 02/02/15.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and public safety background checks for gun sales and transfers; repealing RCW 9.41.092, 9.41.113, 9.41.115, 9.41.137, and 82.08.833; repealing 2015 c ss 2, 5, 6, 7, and 11; repealing 2015 c 1 s 1 (uncodified);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w:t>
      </w:r>
      <w:r>
        <w:rPr/>
        <w:t xml:space="preserve">.</w:t>
      </w:r>
      <w:r>
        <w:t xml:space="preserve">41</w:t>
      </w:r>
      <w:r>
        <w:rPr/>
        <w:t xml:space="preserve">.</w:t>
      </w:r>
      <w:r>
        <w:t xml:space="preserve">092</w:t>
      </w:r>
      <w:r>
        <w:rPr/>
        <w:t xml:space="preserve"> (Licensed dealer deliveries</w:t>
      </w:r>
      <w:r>
        <w:rPr>
          <w:rFonts w:ascii="Times New Roman" w:hAnsi="Times New Roman"/>
        </w:rPr>
        <w:t xml:space="preserve">—</w:t>
      </w:r>
      <w:r>
        <w:rPr/>
        <w:t xml:space="preserve">Background checks) and 2015 c 1 s 4 (Initiative Measure No. 594);</w:t>
      </w:r>
    </w:p>
    <w:p>
      <w:pPr>
        <w:spacing w:before="0" w:after="0" w:line="408" w:lineRule="exact"/>
        <w:ind w:left="0" w:right="0" w:firstLine="576"/>
        <w:jc w:val="left"/>
      </w:pPr>
      <w:r>
        <w:t>(2)</w:t>
      </w:r>
      <w:r>
        <w:rPr/>
        <w:t xml:space="preserve">RCW </w:t>
      </w:r>
      <w:r>
        <w:t xml:space="preserve">9</w:t>
      </w:r>
      <w:r>
        <w:rPr/>
        <w:t xml:space="preserve">.</w:t>
      </w:r>
      <w:r>
        <w:t xml:space="preserve">41</w:t>
      </w:r>
      <w:r>
        <w:rPr/>
        <w:t xml:space="preserve">.</w:t>
      </w:r>
      <w:r>
        <w:t xml:space="preserve">113</w:t>
      </w:r>
      <w:r>
        <w:rPr/>
        <w:t xml:space="preserve"> (Firearm sales or transfers</w:t>
      </w:r>
      <w:r>
        <w:rPr>
          <w:rFonts w:ascii="Times New Roman" w:hAnsi="Times New Roman"/>
        </w:rPr>
        <w:t xml:space="preserve">—</w:t>
      </w:r>
      <w:r>
        <w:rPr/>
        <w:t xml:space="preserve">Background checks</w:t>
      </w:r>
      <w:r>
        <w:rPr>
          <w:rFonts w:ascii="Times New Roman" w:hAnsi="Times New Roman"/>
        </w:rPr>
        <w:t xml:space="preserve">—</w:t>
      </w:r>
      <w:r>
        <w:rPr/>
        <w:t xml:space="preserve">Requirements</w:t>
      </w:r>
      <w:r>
        <w:rPr>
          <w:rFonts w:ascii="Times New Roman" w:hAnsi="Times New Roman"/>
        </w:rPr>
        <w:t xml:space="preserve">—</w:t>
      </w:r>
      <w:r>
        <w:rPr/>
        <w:t xml:space="preserve">Exceptions) and 2015 c 1 s 3 (Initiative Measure No. 594);</w:t>
      </w:r>
    </w:p>
    <w:p>
      <w:pPr>
        <w:spacing w:before="0" w:after="0" w:line="408" w:lineRule="exact"/>
        <w:ind w:left="0" w:right="0" w:firstLine="576"/>
        <w:jc w:val="left"/>
      </w:pPr>
      <w:r>
        <w:t>(3)</w:t>
      </w:r>
      <w:r>
        <w:rPr/>
        <w:t xml:space="preserve">RCW </w:t>
      </w:r>
      <w:r>
        <w:t xml:space="preserve">9</w:t>
      </w:r>
      <w:r>
        <w:rPr/>
        <w:t xml:space="preserve">.</w:t>
      </w:r>
      <w:r>
        <w:t xml:space="preserve">41</w:t>
      </w:r>
      <w:r>
        <w:rPr/>
        <w:t xml:space="preserve">.</w:t>
      </w:r>
      <w:r>
        <w:t xml:space="preserve">115</w:t>
      </w:r>
      <w:r>
        <w:rPr/>
        <w:t xml:space="preserve"> (Penalties</w:t>
      </w:r>
      <w:r>
        <w:rPr>
          <w:rFonts w:ascii="Times New Roman" w:hAnsi="Times New Roman"/>
        </w:rPr>
        <w:t xml:space="preserve">—</w:t>
      </w:r>
      <w:r>
        <w:rPr/>
        <w:t xml:space="preserve">Violations of RCW 9.41.113) and 2015 c 1 s 9 (Initiative Measure No. 594);</w:t>
      </w:r>
    </w:p>
    <w:p>
      <w:pPr>
        <w:spacing w:before="0" w:after="0" w:line="408" w:lineRule="exact"/>
        <w:ind w:left="0" w:right="0" w:firstLine="576"/>
        <w:jc w:val="left"/>
      </w:pPr>
      <w:r>
        <w:t>(4)</w:t>
      </w:r>
      <w:r>
        <w:rPr/>
        <w:t xml:space="preserve">RCW </w:t>
      </w:r>
      <w:r>
        <w:t xml:space="preserve">9</w:t>
      </w:r>
      <w:r>
        <w:rPr/>
        <w:t xml:space="preserve">.</w:t>
      </w:r>
      <w:r>
        <w:t xml:space="preserve">41</w:t>
      </w:r>
      <w:r>
        <w:rPr/>
        <w:t xml:space="preserve">.</w:t>
      </w:r>
      <w:r>
        <w:t xml:space="preserve">137</w:t>
      </w:r>
      <w:r>
        <w:rPr/>
        <w:t xml:space="preserve"> (Department of licensing, authority to adopt rules</w:t>
      </w:r>
      <w:r>
        <w:rPr>
          <w:rFonts w:ascii="Times New Roman" w:hAnsi="Times New Roman"/>
        </w:rPr>
        <w:t xml:space="preserve">—</w:t>
      </w:r>
      <w:r>
        <w:rPr/>
        <w:t xml:space="preserve">Reporting of violations</w:t>
      </w:r>
      <w:r>
        <w:rPr>
          <w:rFonts w:ascii="Times New Roman" w:hAnsi="Times New Roman"/>
        </w:rPr>
        <w:t xml:space="preserve">—</w:t>
      </w:r>
      <w:r>
        <w:rPr/>
        <w:t xml:space="preserve">Authority to revoke licenses) and 2015 c 1 s 8 (Initiative Measure No. 594);</w:t>
      </w:r>
    </w:p>
    <w:p>
      <w:pPr>
        <w:spacing w:before="0" w:after="0" w:line="408" w:lineRule="exact"/>
        <w:ind w:left="0" w:right="0" w:firstLine="576"/>
        <w:jc w:val="left"/>
      </w:pPr>
      <w:r>
        <w:t>(5)</w:t>
      </w:r>
      <w:r>
        <w:rPr/>
        <w:t xml:space="preserve">RCW </w:t>
      </w:r>
      <w:r>
        <w:t xml:space="preserve">82</w:t>
      </w:r>
      <w:r>
        <w:rPr/>
        <w:t xml:space="preserve">.</w:t>
      </w:r>
      <w:r>
        <w:t xml:space="preserve">08</w:t>
      </w:r>
      <w:r>
        <w:rPr/>
        <w:t xml:space="preserve">.</w:t>
      </w:r>
      <w:r>
        <w:t xml:space="preserve">833</w:t>
      </w:r>
      <w:r>
        <w:rPr/>
        <w:t xml:space="preserve"> (Exemptions</w:t>
      </w:r>
      <w:r>
        <w:rPr>
          <w:rFonts w:ascii="Times New Roman" w:hAnsi="Times New Roman"/>
        </w:rPr>
        <w:t xml:space="preserve">—</w:t>
      </w:r>
      <w:r>
        <w:rPr/>
        <w:t xml:space="preserve">Sales or transfers of firearms</w:t>
      </w:r>
      <w:r>
        <w:rPr>
          <w:rFonts w:ascii="Times New Roman" w:hAnsi="Times New Roman"/>
        </w:rPr>
        <w:t xml:space="preserve">—</w:t>
      </w:r>
      <w:r>
        <w:rPr/>
        <w:t xml:space="preserve">Unlicensed persons</w:t>
      </w:r>
      <w:r>
        <w:rPr>
          <w:rFonts w:ascii="Times New Roman" w:hAnsi="Times New Roman"/>
        </w:rPr>
        <w:t xml:space="preserve">—</w:t>
      </w:r>
      <w:r>
        <w:rPr/>
        <w:t xml:space="preserve">Background check requirements) and 2015 c 1 s 10 (Initiative Measure No. 594);</w:t>
      </w:r>
    </w:p>
    <w:p>
      <w:pPr>
        <w:spacing w:before="0" w:after="0" w:line="408" w:lineRule="exact"/>
        <w:ind w:left="0" w:right="0" w:firstLine="576"/>
        <w:jc w:val="left"/>
      </w:pPr>
      <w:r>
        <w:rPr/>
        <w:t xml:space="preserve">(6) 2015 c 1 s 2 (Initiative Measure No. 594);</w:t>
      </w:r>
    </w:p>
    <w:p>
      <w:pPr>
        <w:spacing w:before="0" w:after="0" w:line="408" w:lineRule="exact"/>
        <w:ind w:left="0" w:right="0" w:firstLine="576"/>
        <w:jc w:val="left"/>
      </w:pPr>
      <w:r>
        <w:rPr/>
        <w:t xml:space="preserve">(7) 2015 c 1 s 5 (Initiative Measure No. 594);</w:t>
      </w:r>
    </w:p>
    <w:p>
      <w:pPr>
        <w:spacing w:before="0" w:after="0" w:line="408" w:lineRule="exact"/>
        <w:ind w:left="0" w:right="0" w:firstLine="576"/>
        <w:jc w:val="left"/>
      </w:pPr>
      <w:r>
        <w:rPr/>
        <w:t xml:space="preserve">(8) 2015 c 1 s 6 (Initiative Measure No. 594);</w:t>
      </w:r>
    </w:p>
    <w:p>
      <w:pPr>
        <w:spacing w:before="0" w:after="0" w:line="408" w:lineRule="exact"/>
        <w:ind w:left="0" w:right="0" w:firstLine="576"/>
        <w:jc w:val="left"/>
      </w:pPr>
      <w:r>
        <w:rPr/>
        <w:t xml:space="preserve">(9) 2015 c 1 s 7 (Initiative Measure No. 594);</w:t>
      </w:r>
    </w:p>
    <w:p>
      <w:pPr>
        <w:spacing w:before="0" w:after="0" w:line="408" w:lineRule="exact"/>
        <w:ind w:left="0" w:right="0" w:firstLine="576"/>
        <w:jc w:val="left"/>
      </w:pPr>
      <w:r>
        <w:rPr/>
        <w:t xml:space="preserve">(10) 2015 c 1 s 11 (Initiative Measure No. 594); and</w:t>
      </w:r>
    </w:p>
    <w:p>
      <w:pPr>
        <w:spacing w:before="0" w:after="0" w:line="408" w:lineRule="exact"/>
        <w:ind w:left="0" w:right="0" w:firstLine="576"/>
        <w:jc w:val="left"/>
      </w:pPr>
      <w:r>
        <w:rPr/>
        <w:t xml:space="preserve">(11) 2015 c 1 s 1 (uncodified) (Initiative Measure No. 594).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a6d6fd08c00047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b33c7745c545d0" /><Relationship Type="http://schemas.openxmlformats.org/officeDocument/2006/relationships/footer" Target="/word/footer.xml" Id="Ra6d6fd08c00047ae" /></Relationships>
</file>