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42e0f77dcd4f72" /></Relationships>
</file>

<file path=word/document.xml><?xml version="1.0" encoding="utf-8"?>
<w:document xmlns:w="http://schemas.openxmlformats.org/wordprocessingml/2006/main">
  <w:body>
    <w:p>
      <w:r>
        <w:t>H-1073.1</w:t>
      </w:r>
    </w:p>
    <w:p>
      <w:pPr>
        <w:jc w:val="center"/>
      </w:pPr>
      <w:r>
        <w:t>_______________________________________________</w:t>
      </w:r>
    </w:p>
    <w:p/>
    <w:p>
      <w:pPr>
        <w:jc w:val="center"/>
      </w:pPr>
      <w:r>
        <w:rPr>
          <w:b/>
        </w:rPr>
        <w:t>HOUSE BILL 1881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Harris, Parker, Chandler, Kretz, Scott, Young, Schmick, and Buys</w:t>
      </w:r>
    </w:p>
    <w:p/>
    <w:p>
      <w:r>
        <w:rPr>
          <w:t xml:space="preserve">Read first time 02/02/15.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express legislative authorization prior to the enactment of any regulation regarding the carbon content of fuel; amending RCW 70.120A.010; adding a new section to chapter 43.17 RCW; adding new sections to chapter 70.235 RCW; adding a new section to chapter 70.94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 (1) The executive branch and its related agencies may not create rules related to or adopt, order, restrict, or otherwise implement any fuel standard or set carbon reduction requirements for fuel distributors or vehicles based upon or defined by the carbon intensity of the fuel or greenhouse gas emissions, nor may a low-carbon fuel standard be implemented in this state, without prior express direction from the legislature to do so.</w:t>
      </w:r>
    </w:p>
    <w:p>
      <w:pPr>
        <w:spacing w:before="0" w:after="0" w:line="408" w:lineRule="exact"/>
        <w:ind w:left="0" w:right="0" w:firstLine="576"/>
        <w:jc w:val="left"/>
      </w:pPr>
      <w:r>
        <w:rPr/>
        <w:t xml:space="preserve">(2) For the purposes of this section, express direction from the legislature is limited to the passage of a bill that is either signed by the governor or allowed to take effect absent a gubernatorial signature that includes express direction to an executive branch agency to either implement a state low-carbon fuel standard or to adopt, order, restrict, or otherwise implement any fuel standard or set carbon reduction requirements for fuel distributors or vehicles based upon or defined by the carbon intensity of the fuel or greenhouse gas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Nothing in this chapter provides legal authority for any person to adopt rules or issue orders or policies to implement a fuel standard based on carbon intensity, carbon content, or greenhouse gas emissions contrary to the provisions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Nothing in this chapter provides legal authority for the department, a board, or any other entity to adopt rules or issue orders or policies to implement a fuel standard based on carbon intensity, carbon content, or greenhouse gas emissions contrary to the provisions of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passenger vehicles, and shall amend the rules from time to time, to maintain consistency with the California motor vehicle emission standards and 42 U.S.C. Sec. 7507 (section 177 of the federal clean air act). 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0" w:after="0" w:line="408" w:lineRule="exact"/>
        <w:ind w:left="0" w:right="0" w:firstLine="576"/>
        <w:jc w:val="left"/>
      </w:pPr>
      <w:r>
        <w:rPr>
          <w:u w:val="single"/>
        </w:rPr>
        <w:t xml:space="preserve">(4) Nothing in this chapter provides legal authority for the department or any other entity to adopt rules or issue orders or policies to implement a fuel standard based on carbon intensity, carbon content, or greenhouse gas emissions contrary to the provisions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Sections 1 through 3 of this act and RCW 70.120A.010(4) are to be liberally construed to prevent the implementation of any form of low</w:t>
      </w:r>
      <w:r>
        <w:rPr/>
        <w:noBreakHyphen/>
      </w:r>
      <w:r>
        <w:rPr/>
        <w:t xml:space="preserve">carbon fuel standard or other administrative rule on the carbon content of fuels on any person or vehicle without prior express legislative direction specifically enacting a low-carbon fuel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8fb3234b3df47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02cfe6683f4f67" /><Relationship Type="http://schemas.openxmlformats.org/officeDocument/2006/relationships/footer" Target="/word/footer.xml" Id="R18fb3234b3df4724" /></Relationships>
</file>