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e515584d494add" /></Relationships>
</file>

<file path=word/document.xml><?xml version="1.0" encoding="utf-8"?>
<w:document xmlns:w="http://schemas.openxmlformats.org/wordprocessingml/2006/main">
  <w:body>
    <w:p>
      <w:r>
        <w:t>H-1295.1</w:t>
      </w:r>
    </w:p>
    <w:p>
      <w:pPr>
        <w:jc w:val="center"/>
      </w:pPr>
      <w:r>
        <w:t>_______________________________________________</w:t>
      </w:r>
    </w:p>
    <w:p/>
    <w:p>
      <w:pPr>
        <w:jc w:val="center"/>
      </w:pPr>
      <w:r>
        <w:rPr>
          <w:b/>
        </w:rPr>
        <w:t>HOUSE BILL 1858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S. Hunt, Taylor, G. Hunt, Reykdal, Condotta, Tharinger, and McCaslin</w:t>
      </w:r>
    </w:p>
    <w:p/>
    <w:p>
      <w:r>
        <w:rPr>
          <w:t xml:space="preserve">Read first time 01/30/15.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names of county auditors and the secretary of state from being included on ballot envelopes and in voters' pamphlets when running for reelection; and amending RCW 29A.32.070, 29A.32.241, and 29A.40.091.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070</w:t>
      </w:r>
      <w:r>
        <w:rPr/>
        <w:t xml:space="preserve"> and 2009 c 415 s 5 are each amended to read as follows:</w:t>
      </w:r>
    </w:p>
    <w:p>
      <w:pPr>
        <w:spacing w:before="0" w:after="0" w:line="408" w:lineRule="exact"/>
        <w:ind w:left="0" w:right="0" w:firstLine="576"/>
        <w:jc w:val="left"/>
      </w:pPr>
      <w:r>
        <w:rPr/>
        <w:t xml:space="preserve">The secretary of state shall determine the format and layout of the voters' pamphlet published under RCW 29A.32.010. The secretary of state shall print the pamphlet in clear, readable type on a size, quality, and weight of paper that in the judgment of the secretary of state best serves the voters. The pamphlet must contain a table of contents. Measures and arguments must be printed in the order specified by RCW 29A.72.290.</w:t>
      </w:r>
    </w:p>
    <w:p>
      <w:pPr>
        <w:spacing w:before="0" w:after="0" w:line="408" w:lineRule="exact"/>
        <w:ind w:left="0" w:right="0" w:firstLine="576"/>
        <w:jc w:val="left"/>
      </w:pPr>
      <w:r>
        <w:rPr>
          <w:u w:val="single"/>
        </w:rPr>
        <w:t xml:space="preserve">The secretary of state's name may not appear in the voters' pamphlet in his or her official capacity if the secretary is a candidate for office during the same year. His or her name may only be included as part of the information normally included for candidates.</w:t>
      </w:r>
    </w:p>
    <w:p>
      <w:pPr>
        <w:spacing w:before="0" w:after="0" w:line="408" w:lineRule="exact"/>
        <w:ind w:left="0" w:right="0" w:firstLine="576"/>
        <w:jc w:val="left"/>
      </w:pPr>
      <w:r>
        <w:rPr/>
        <w:t xml:space="preserve">The voters' pamphlet must provide the following information for each statewide issue on the ballot except measures for an advisory vote of the people whose requirements are provided in subsection (11) of this section:</w:t>
      </w:r>
    </w:p>
    <w:p>
      <w:pPr>
        <w:spacing w:before="0" w:after="0" w:line="408" w:lineRule="exact"/>
        <w:ind w:left="0" w:right="0" w:firstLine="576"/>
        <w:jc w:val="left"/>
      </w:pPr>
      <w:r>
        <w:rPr/>
        <w:t xml:space="preserve">(1) The legal identification of the measure by serial designation or number;</w:t>
      </w:r>
    </w:p>
    <w:p>
      <w:pPr>
        <w:spacing w:before="0" w:after="0" w:line="408" w:lineRule="exact"/>
        <w:ind w:left="0" w:right="0" w:firstLine="576"/>
        <w:jc w:val="left"/>
      </w:pPr>
      <w:r>
        <w:rPr/>
        <w:t xml:space="preserve">(2) The official ballot title of the measure;</w:t>
      </w:r>
    </w:p>
    <w:p>
      <w:pPr>
        <w:spacing w:before="0" w:after="0" w:line="408" w:lineRule="exact"/>
        <w:ind w:left="0" w:right="0" w:firstLine="576"/>
        <w:jc w:val="left"/>
      </w:pPr>
      <w:r>
        <w:rPr/>
        <w:t xml:space="preserve">(3) A statement prepared by the attorney general explaining the law as it presently exists;</w:t>
      </w:r>
    </w:p>
    <w:p>
      <w:pPr>
        <w:spacing w:before="0" w:after="0" w:line="408" w:lineRule="exact"/>
        <w:ind w:left="0" w:right="0" w:firstLine="576"/>
        <w:jc w:val="left"/>
      </w:pPr>
      <w:r>
        <w:rPr/>
        <w:t xml:space="preserve">(4) A statement prepared by the attorney general explaining the effect of the proposed measure if it becomes law;</w:t>
      </w:r>
    </w:p>
    <w:p>
      <w:pPr>
        <w:spacing w:before="0" w:after="0" w:line="408" w:lineRule="exact"/>
        <w:ind w:left="0" w:right="0" w:firstLine="576"/>
        <w:jc w:val="left"/>
      </w:pPr>
      <w:r>
        <w:rPr/>
        <w:t xml:space="preserve">(5) The fiscal impact statement prepared under RCW 29A.72.025;</w:t>
      </w:r>
    </w:p>
    <w:p>
      <w:pPr>
        <w:spacing w:before="0" w:after="0" w:line="408" w:lineRule="exact"/>
        <w:ind w:left="0" w:right="0" w:firstLine="576"/>
        <w:jc w:val="left"/>
      </w:pPr>
      <w:r>
        <w:rPr/>
        <w:t xml:space="preserve">(6) The total number of votes cast for and against the measure in the senate and house of representatives, if the measure has been passed by the legislature;</w:t>
      </w:r>
    </w:p>
    <w:p>
      <w:pPr>
        <w:spacing w:before="0" w:after="0" w:line="408" w:lineRule="exact"/>
        <w:ind w:left="0" w:right="0" w:firstLine="576"/>
        <w:jc w:val="left"/>
      </w:pPr>
      <w:r>
        <w:rPr/>
        <w:t xml:space="preserve">(7) An argument advocating the voters' approval of the measure together with any statement in rebuttal of the opposing argument;</w:t>
      </w:r>
    </w:p>
    <w:p>
      <w:pPr>
        <w:spacing w:before="0" w:after="0" w:line="408" w:lineRule="exact"/>
        <w:ind w:left="0" w:right="0" w:firstLine="576"/>
        <w:jc w:val="left"/>
      </w:pPr>
      <w:r>
        <w:rPr/>
        <w:t xml:space="preserve">(8) An argument advocating the voters' rejection of the measure together with any statement in rebuttal of the opposing argument;</w:t>
      </w:r>
    </w:p>
    <w:p>
      <w:pPr>
        <w:spacing w:before="0" w:after="0" w:line="408" w:lineRule="exact"/>
        <w:ind w:left="0" w:right="0" w:firstLine="576"/>
        <w:jc w:val="left"/>
      </w:pPr>
      <w:r>
        <w:rPr/>
        <w:t xml:space="preserve">(9) Each argument or rebuttal statement must be followed by the names of the committee members who submitted them, and may be followed by a telephone number that citizens may call to obtain information on the ballot measure;</w:t>
      </w:r>
    </w:p>
    <w:p>
      <w:pPr>
        <w:spacing w:before="0" w:after="0" w:line="408" w:lineRule="exact"/>
        <w:ind w:left="0" w:right="0" w:firstLine="576"/>
        <w:jc w:val="left"/>
      </w:pPr>
      <w:r>
        <w:rPr/>
        <w:t xml:space="preserve">(10) The full text of the measure;</w:t>
      </w:r>
    </w:p>
    <w:p>
      <w:pPr>
        <w:spacing w:before="0" w:after="0" w:line="408" w:lineRule="exact"/>
        <w:ind w:left="0" w:right="0" w:firstLine="576"/>
        <w:jc w:val="left"/>
      </w:pPr>
      <w:r>
        <w:rPr/>
        <w:t xml:space="preserve">(11) Two pages shall be provided in the general election voters' pamphlet for each measure for an advisory vote of the people under RCW 43.135.041 and shall consist of the serial number assigned by the secretary of state under RCW 29A.72.040, the short description formulated by the attorney general under RCW 29A.72.283, the tax increase's most up</w:t>
      </w:r>
      <w:r>
        <w:rPr/>
        <w:noBreakHyphen/>
      </w:r>
      <w:r>
        <w:rPr/>
        <w:t xml:space="preserve">to</w:t>
      </w:r>
      <w:r>
        <w:rPr/>
        <w:noBreakHyphen/>
      </w:r>
      <w:r>
        <w:rPr/>
        <w:t xml:space="preserve">date ten</w:t>
      </w:r>
      <w:r>
        <w:rPr/>
        <w:noBreakHyphen/>
      </w:r>
      <w:r>
        <w:rPr/>
        <w:t xml:space="preserve">year cost projection, including a year</w:t>
      </w:r>
      <w:r>
        <w:rPr/>
        <w:noBreakHyphen/>
      </w:r>
      <w:r>
        <w:rPr/>
        <w:t xml:space="preserve">by</w:t>
      </w:r>
      <w:r>
        <w:rPr/>
        <w:noBreakHyphen/>
      </w:r>
      <w:r>
        <w:rPr/>
        <w:t xml:space="preserve">year breakdown, by the office of financial management under RCW 43.135.031, and the names of the legislators, and their contact information, and how they voted on the increase upon final passage so they can provide information to, and answer questions from, the public. For the purposes of this subsection, "names of legislators, and their contact information" includes each legislator's position (senator or representative), first name, last name, party affiliation (for example, Democrat or Republican), city or town they live in, office phone number, and office email address.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241</w:t>
      </w:r>
      <w:r>
        <w:rPr/>
        <w:t xml:space="preserve"> and 2011 c 10 s 29 are each amended to read as follows:</w:t>
      </w:r>
    </w:p>
    <w:p>
      <w:pPr>
        <w:spacing w:before="0" w:after="0" w:line="408" w:lineRule="exact"/>
        <w:ind w:left="0" w:right="0" w:firstLine="576"/>
        <w:jc w:val="left"/>
      </w:pPr>
      <w:r>
        <w:rPr>
          <w:u w:val="single"/>
        </w:rPr>
        <w:t xml:space="preserve">(1)</w:t>
      </w:r>
      <w:r>
        <w:rPr/>
        <w:t xml:space="preserve"> The local voters' pamphlet shall include but not be limited to the following:</w:t>
      </w:r>
    </w:p>
    <w:p>
      <w:pPr>
        <w:spacing w:before="0" w:after="0" w:line="408" w:lineRule="exact"/>
        <w:ind w:left="0" w:right="0" w:firstLine="576"/>
        <w:jc w:val="left"/>
      </w:pPr>
      <w:r>
        <w:t>((</w:t>
      </w:r>
      <w:r>
        <w:rPr>
          <w:strike/>
        </w:rPr>
        <w:t xml:space="preserve">(1)</w:t>
      </w:r>
      <w:r>
        <w:t>))</w:t>
      </w:r>
      <w:r>
        <w:rPr>
          <w:u w:val="single"/>
        </w:rPr>
        <w:t xml:space="preserve">(a)</w:t>
      </w:r>
      <w:r>
        <w:rPr/>
        <w:t xml:space="preserve"> Appearing on the cover, the words "official local voters' pamphlet," the name of the jurisdiction producing the pamphlet, and the date of the election or primary;</w:t>
      </w:r>
    </w:p>
    <w:p>
      <w:pPr>
        <w:spacing w:before="0" w:after="0" w:line="408" w:lineRule="exact"/>
        <w:ind w:left="0" w:right="0" w:firstLine="576"/>
        <w:jc w:val="left"/>
      </w:pPr>
      <w:r>
        <w:t>((</w:t>
      </w:r>
      <w:r>
        <w:rPr>
          <w:strike/>
        </w:rPr>
        <w:t xml:space="preserve">(2)</w:t>
      </w:r>
      <w:r>
        <w:t>))</w:t>
      </w:r>
      <w:r>
        <w:rPr>
          <w:u w:val="single"/>
        </w:rPr>
        <w:t xml:space="preserve">(b)</w:t>
      </w:r>
      <w:r>
        <w:rPr/>
        <w:t xml:space="preserve"> A list of jurisdictions that have measures or candidates in the pamphlet;</w:t>
      </w:r>
    </w:p>
    <w:p>
      <w:pPr>
        <w:spacing w:before="0" w:after="0" w:line="408" w:lineRule="exact"/>
        <w:ind w:left="0" w:right="0" w:firstLine="576"/>
        <w:jc w:val="left"/>
      </w:pPr>
      <w:r>
        <w:t>((</w:t>
      </w:r>
      <w:r>
        <w:rPr>
          <w:strike/>
        </w:rPr>
        <w:t xml:space="preserve">(3)</w:t>
      </w:r>
      <w:r>
        <w:t>))</w:t>
      </w:r>
      <w:r>
        <w:rPr>
          <w:u w:val="single"/>
        </w:rPr>
        <w:t xml:space="preserve">(c)</w:t>
      </w:r>
      <w:r>
        <w:rPr/>
        <w:t xml:space="preserve"> Information on how a person may register to vote and obtain a ballot;</w:t>
      </w:r>
    </w:p>
    <w:p>
      <w:pPr>
        <w:spacing w:before="0" w:after="0" w:line="408" w:lineRule="exact"/>
        <w:ind w:left="0" w:right="0" w:firstLine="576"/>
        <w:jc w:val="left"/>
      </w:pPr>
      <w:r>
        <w:t>((</w:t>
      </w:r>
      <w:r>
        <w:rPr>
          <w:strike/>
        </w:rPr>
        <w:t xml:space="preserve">(4)</w:t>
      </w:r>
      <w:r>
        <w:t>))</w:t>
      </w:r>
      <w:r>
        <w:rPr>
          <w:u w:val="single"/>
        </w:rPr>
        <w:t xml:space="preserve">(d)</w:t>
      </w:r>
      <w:r>
        <w:rPr/>
        <w:t xml:space="preserve"> The text of each measure accompanied by an explanatory statement prepared by the prosecuting attorney for any county measure or by the attorney for the jurisdiction submitting the measure if other than a county measure. All explanatory statements for city, town, or district measures not approved by the attorney for the jurisdiction submitting the measure shall be reviewed and approved by the county prosecuting attorney or city attorney, when applicable, before inclusion in the pamphlet;</w:t>
      </w:r>
    </w:p>
    <w:p>
      <w:pPr>
        <w:spacing w:before="0" w:after="0" w:line="408" w:lineRule="exact"/>
        <w:ind w:left="0" w:right="0" w:firstLine="576"/>
        <w:jc w:val="left"/>
      </w:pPr>
      <w:r>
        <w:t>((</w:t>
      </w:r>
      <w:r>
        <w:rPr>
          <w:strike/>
        </w:rPr>
        <w:t xml:space="preserve">(5)</w:t>
      </w:r>
      <w:r>
        <w:t>))</w:t>
      </w:r>
      <w:r>
        <w:rPr>
          <w:u w:val="single"/>
        </w:rPr>
        <w:t xml:space="preserve">(e)</w:t>
      </w:r>
      <w:r>
        <w:rPr/>
        <w:t xml:space="preserve"> The arguments for and against each measure submitted by committees selected pursuant to RCW 29A.32.280; and</w:t>
      </w:r>
    </w:p>
    <w:p>
      <w:pPr>
        <w:spacing w:before="0" w:after="0" w:line="408" w:lineRule="exact"/>
        <w:ind w:left="0" w:right="0" w:firstLine="576"/>
        <w:jc w:val="left"/>
      </w:pPr>
      <w:r>
        <w:t>((</w:t>
      </w:r>
      <w:r>
        <w:rPr>
          <w:strike/>
        </w:rPr>
        <w:t xml:space="preserve">(6)</w:t>
      </w:r>
      <w:r>
        <w:t>))</w:t>
      </w:r>
      <w:r>
        <w:rPr>
          <w:u w:val="single"/>
        </w:rPr>
        <w:t xml:space="preserve">(f)</w:t>
      </w:r>
      <w:r>
        <w:rPr/>
        <w:t xml:space="preserve"> For partisan primary elections, information on how to vote the applicable ballot format and an explanation that minor political party candidates and independent candidates will appear only on the general election ballot.</w:t>
      </w:r>
    </w:p>
    <w:p>
      <w:pPr>
        <w:spacing w:before="0" w:after="0" w:line="408" w:lineRule="exact"/>
        <w:ind w:left="0" w:right="0" w:firstLine="576"/>
        <w:jc w:val="left"/>
      </w:pPr>
      <w:r>
        <w:rPr>
          <w:u w:val="single"/>
        </w:rPr>
        <w:t xml:space="preserve">(2) The county auditor's name may not appear in the local voters' pamphlet in his or her official capacity if the county auditor is a candidate for office during the same year. His or her name may only be included as part of the information normally included for candidates.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2013 c 11 s 49 are each amended to read as follows:</w:t>
      </w:r>
    </w:p>
    <w:p>
      <w:pPr>
        <w:spacing w:before="0" w:after="0" w:line="408" w:lineRule="exact"/>
        <w:ind w:left="0" w:right="0" w:firstLine="576"/>
        <w:jc w:val="left"/>
      </w:pPr>
      <w:r>
        <w:rPr/>
        <w:t xml:space="preserve">(1) The county auditor shall send each voter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w:t>
      </w:r>
    </w:p>
    <w:p>
      <w:pPr>
        <w:spacing w:before="0" w:after="0" w:line="408" w:lineRule="exact"/>
        <w:ind w:left="0" w:right="0" w:firstLine="576"/>
        <w:jc w:val="left"/>
      </w:pPr>
      <w:r>
        <w:rPr/>
        <w:t xml:space="preserve">(2)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has been convicted of a felony and has not had his or her voting rights restored; and it is illegal to cast a ballot or sign a ballot declaration on behalf of another voter. The ballot materials must provide space for the voter to sign the declaration, indicate the date on which the ballot was voted, and include a telephone number.</w:t>
      </w:r>
    </w:p>
    <w:p>
      <w:pPr>
        <w:spacing w:before="0" w:after="0" w:line="408" w:lineRule="exact"/>
        <w:ind w:left="0" w:right="0" w:firstLine="576"/>
        <w:jc w:val="left"/>
      </w:pPr>
      <w:r>
        <w:rPr/>
        <w:t xml:space="preserve">(3) For overseas and service voters, the signed declaration constitutes the equivalent of a voter registration. Return envelopes for overseas and service voters must enable the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rPr/>
        <w:t xml:space="preserve">(4) The voter must be instructed to either return the ballot to the county auditor no later than 8:00 p.m. the day of the election or primary, or mail the ballot to the county auditor with a postmark no later than the day of the election or primary. Service and overseas voters must be provided with instructions and a privacy sheet for returning the ballot and signed declaration by fax or email. A voted ballot and signed declaration returned by fax or email must be received by 8:00 p.m. on the day of the election or primary.</w:t>
      </w:r>
    </w:p>
    <w:p>
      <w:pPr>
        <w:spacing w:before="0" w:after="0" w:line="408" w:lineRule="exact"/>
        <w:ind w:left="0" w:right="0" w:firstLine="576"/>
        <w:jc w:val="left"/>
      </w:pPr>
      <w:r>
        <w:rPr>
          <w:u w:val="single"/>
        </w:rPr>
        <w:t xml:space="preserve">(5) The county auditor's name may not appear on the security envelope, the return envelope, or on any voting instructions or materials included with the ballot if he or she is a candidate for office during the same year.</w:t>
      </w:r>
    </w:p>
    <w:p/>
    <w:p>
      <w:pPr>
        <w:jc w:val="center"/>
      </w:pPr>
      <w:r>
        <w:rPr>
          <w:b/>
        </w:rPr>
        <w:t>--- END ---</w:t>
      </w:r>
    </w:p>
    <w:sectPr>
      <w:pgNumType w:start="1"/>
      <w:footerReference xmlns:r="http://schemas.openxmlformats.org/officeDocument/2006/relationships" r:id="R5aac26aaeceb48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4ab2ba04f04660" /><Relationship Type="http://schemas.openxmlformats.org/officeDocument/2006/relationships/footer" Target="/word/footer.xml" Id="R5aac26aaeceb48b6" /></Relationships>
</file>