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6674bff6584673" /></Relationships>
</file>

<file path=word/document.xml><?xml version="1.0" encoding="utf-8"?>
<w:document xmlns:w="http://schemas.openxmlformats.org/wordprocessingml/2006/main">
  <w:body>
    <w:p>
      <w:r>
        <w:t>H-1057.1</w:t>
      </w:r>
    </w:p>
    <w:p>
      <w:pPr>
        <w:jc w:val="center"/>
      </w:pPr>
      <w:r>
        <w:t>_______________________________________________</w:t>
      </w:r>
    </w:p>
    <w:p/>
    <w:p>
      <w:pPr>
        <w:jc w:val="center"/>
      </w:pPr>
      <w:r>
        <w:rPr>
          <w:b/>
        </w:rPr>
        <w:t>HOUSE BILL 1852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Caldier, Jinkins, Young, Moeller, Short, Manweller, Hayes, Riccelli, Cody, and Tharinger</w:t>
      </w:r>
    </w:p>
    <w:p/>
    <w:p>
      <w:r>
        <w:rPr>
          <w:t xml:space="preserve">Read first time 01/30/15.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pediatric oral services essential health benefit category; and amending RCW 43.71.065 and 48.43.715.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065</w:t>
      </w:r>
      <w:r>
        <w:rPr/>
        <w:t xml:space="preserve"> and 2012 c 87 s 8 are each amended to read as follows:</w:t>
      </w:r>
    </w:p>
    <w:p>
      <w:pPr>
        <w:spacing w:before="0" w:after="0" w:line="408" w:lineRule="exact"/>
        <w:ind w:left="0" w:right="0" w:firstLine="576"/>
        <w:jc w:val="left"/>
      </w:pPr>
      <w:r>
        <w:rPr/>
        <w:t xml:space="preserve">(1) The board shall certify a plan as a qualified health plan to be offered through the exchange if the plan is determined by the:</w:t>
      </w:r>
    </w:p>
    <w:p>
      <w:pPr>
        <w:spacing w:before="0" w:after="0" w:line="408" w:lineRule="exact"/>
        <w:ind w:left="0" w:right="0" w:firstLine="576"/>
        <w:jc w:val="left"/>
      </w:pPr>
      <w:r>
        <w:rPr/>
        <w:t xml:space="preserve">(a) Insurance commissioner to meet the requirements of Title 48 RCW and rules adopted by the commissioner pursuant to chapter 34.05 RCW to implement the requirements of Title 48 RCW;</w:t>
      </w:r>
    </w:p>
    <w:p>
      <w:pPr>
        <w:spacing w:before="0" w:after="0" w:line="408" w:lineRule="exact"/>
        <w:ind w:left="0" w:right="0" w:firstLine="576"/>
        <w:jc w:val="left"/>
      </w:pPr>
      <w:r>
        <w:rPr/>
        <w:t xml:space="preserve">(b) Board to meet the requirements of the affordable care act for certification as a qualified health plan; and</w:t>
      </w:r>
    </w:p>
    <w:p>
      <w:pPr>
        <w:spacing w:before="0" w:after="0" w:line="408" w:lineRule="exact"/>
        <w:ind w:left="0" w:right="0" w:firstLine="576"/>
        <w:jc w:val="left"/>
      </w:pPr>
      <w:r>
        <w:rPr/>
        <w:t xml:space="preserve">(c) Board to include tribal clinics and urban Indian clinics as essential community providers in the plan's provider network consistent with federal law. If consistent with federal law, integrated delivery systems shall be exempt from the requirement to include essential community providers in the provider network.</w:t>
      </w:r>
    </w:p>
    <w:p>
      <w:pPr>
        <w:spacing w:before="0" w:after="0" w:line="408" w:lineRule="exact"/>
        <w:ind w:left="0" w:right="0" w:firstLine="576"/>
        <w:jc w:val="left"/>
      </w:pPr>
      <w:r>
        <w:rPr/>
        <w:t xml:space="preserve">(2) Consistent with section 1311 of P.L. 111-148 of 2010, as amended, the board shall allow stand-alone dental plans to offer coverage in the exchange beginning January 1, 2014. Dental benefits offered in the exchange </w:t>
      </w:r>
      <w:r>
        <w:t>((</w:t>
      </w:r>
      <w:r>
        <w:rPr>
          <w:strike/>
        </w:rPr>
        <w:t xml:space="preserve">must</w:t>
      </w:r>
      <w:r>
        <w:t>))</w:t>
      </w:r>
      <w:r>
        <w:rPr>
          <w:u w:val="single"/>
        </w:rPr>
        <w:t xml:space="preserve">may</w:t>
      </w:r>
      <w:r>
        <w:rPr/>
        <w:t xml:space="preserve"> be offered </w:t>
      </w:r>
      <w:r>
        <w:t>((</w:t>
      </w:r>
      <w:r>
        <w:rPr>
          <w:strike/>
        </w:rPr>
        <w:t xml:space="preserve">and priced</w:t>
      </w:r>
      <w:r>
        <w:t>))</w:t>
      </w:r>
      <w:r>
        <w:rPr/>
        <w:t xml:space="preserve"> separately </w:t>
      </w:r>
      <w:r>
        <w:t>((</w:t>
      </w:r>
      <w:r>
        <w:rPr>
          <w:strike/>
        </w:rPr>
        <w:t xml:space="preserve">to assure transparency for consumers</w:t>
      </w:r>
      <w:r>
        <w:t>))</w:t>
      </w:r>
      <w:r>
        <w:rPr>
          <w:u w:val="single"/>
        </w:rPr>
        <w:t xml:space="preserve">or within a qualified health plan</w:t>
      </w:r>
      <w:r>
        <w:rPr/>
        <w:t xml:space="preserve">.</w:t>
      </w:r>
    </w:p>
    <w:p>
      <w:pPr>
        <w:spacing w:before="0" w:after="0" w:line="408" w:lineRule="exact"/>
        <w:ind w:left="0" w:right="0" w:firstLine="576"/>
        <w:jc w:val="left"/>
      </w:pPr>
      <w:r>
        <w:rPr/>
        <w:t xml:space="preserve">(3) The board may permit direct primary care medical home plans, consistent with section 1301 of P.L. 111-148 of 2010, as amended, to be offered in the exchange beginning January 1, 2014.</w:t>
      </w:r>
    </w:p>
    <w:p>
      <w:pPr>
        <w:spacing w:before="0" w:after="0" w:line="408" w:lineRule="exact"/>
        <w:ind w:left="0" w:right="0" w:firstLine="576"/>
        <w:jc w:val="left"/>
      </w:pPr>
      <w:r>
        <w:rPr/>
        <w:t xml:space="preserve">(4) Upon request by the board, a state agency shall provide information to the board for its use in determining if the requirements under subsection (1)(b) or (c) of this section have been met. Unless the agency and the board agree to a later date, the agency shall provide the information within sixty days of the request. The exchange shall reimburse the agency for the cost of compiling and providing the requested information within one hundred eighty days of its receipt.</w:t>
      </w:r>
    </w:p>
    <w:p>
      <w:pPr>
        <w:spacing w:before="0" w:after="0" w:line="408" w:lineRule="exact"/>
        <w:ind w:left="0" w:right="0" w:firstLine="576"/>
        <w:jc w:val="left"/>
      </w:pPr>
      <w:r>
        <w:rPr/>
        <w:t xml:space="preserve">(5) A decision by the board denying a request to certify or recertify a plan as a qualified health plan may be appealed according to procedures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2013 c 325 s 1 are each amended to read as follows:</w:t>
      </w:r>
    </w:p>
    <w:p>
      <w:pPr>
        <w:spacing w:before="0" w:after="0" w:line="408" w:lineRule="exact"/>
        <w:ind w:left="0" w:right="0" w:firstLine="576"/>
        <w:jc w:val="left"/>
      </w:pPr>
      <w:r>
        <w:rPr/>
        <w:t xml:space="preserve">(1) Consistent with federal law, the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 under P.L. 111-148 of 2010, as amended.</w:t>
      </w:r>
    </w:p>
    <w:p>
      <w:pPr>
        <w:spacing w:before="0" w:after="0" w:line="408" w:lineRule="exact"/>
        <w:ind w:left="0" w:right="0" w:firstLine="576"/>
        <w:jc w:val="left"/>
      </w:pPr>
      <w:r>
        <w:rPr/>
        <w:t xml:space="preserve">(2) If the essential health benefits benchmark plan for the individual and small group market does not include all of the ten benefit categories specified by section 1302 of P.L. 111-148, as amended, the commissioner, in consultation with the board and the health care authority, shall, by rule, supplement the benchmark plan benefits as needed to meet the minimum requirements of section 1302.</w:t>
      </w:r>
    </w:p>
    <w:p>
      <w:pPr>
        <w:spacing w:before="0" w:after="0" w:line="408" w:lineRule="exact"/>
        <w:ind w:left="0" w:right="0" w:firstLine="576"/>
        <w:jc w:val="left"/>
      </w:pPr>
      <w:r>
        <w:rPr/>
        <w:t xml:space="preserve">(3) A health plan required to offer the essential health benefits, other than a health plan offered through the federal basic health program or medicaid, under P.L. 111-148 of 2010, as amended,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 specified in section 1302 of P.L. 111-148 of 2010, as amended;</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 categories specified by section 1302 of P.L. 111-148 of 2010, as amended;</w:t>
      </w:r>
    </w:p>
    <w:p>
      <w:pPr>
        <w:spacing w:before="0" w:after="0" w:line="408" w:lineRule="exact"/>
        <w:ind w:left="0" w:right="0" w:firstLine="576"/>
        <w:jc w:val="left"/>
      </w:pPr>
      <w:r>
        <w:rPr/>
        <w:t xml:space="preserve">(c) Notwithstanding the foregoing, for benefit years beginning January 1, 2015, and only to the extent permitted by federal law and guidance,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Unless prohibited by federal law and guidance, must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0" w:after="0" w:line="408" w:lineRule="exact"/>
        <w:ind w:left="0" w:right="0" w:firstLine="576"/>
        <w:jc w:val="left"/>
      </w:pPr>
      <w:r>
        <w:rPr>
          <w:u w:val="single"/>
        </w:rPr>
        <w:t xml:space="preserve">(5) Beginning January 1, 2017, all plans which offer pediatric oral services must pay for pediatric oral services classified as "diagnostic," "preventive," "amalgam restorations," and "resin-based composite restorations" in the American dental association's code on dental procedures and nomenclature before the plan's deductible is reached, unless prohibited by federal law and guidance.</w:t>
      </w:r>
    </w:p>
    <w:p/>
    <w:p>
      <w:pPr>
        <w:jc w:val="center"/>
      </w:pPr>
      <w:r>
        <w:rPr>
          <w:b/>
        </w:rPr>
        <w:t>--- END ---</w:t>
      </w:r>
    </w:p>
    <w:sectPr>
      <w:pgNumType w:start="1"/>
      <w:footerReference xmlns:r="http://schemas.openxmlformats.org/officeDocument/2006/relationships" r:id="R2705daa4d26a47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fb427bffb4d25" /><Relationship Type="http://schemas.openxmlformats.org/officeDocument/2006/relationships/footer" Target="/word/footer.xml" Id="R2705daa4d26a47e6" /></Relationships>
</file>