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1365fe47f44744" /></Relationships>
</file>

<file path=word/document.xml><?xml version="1.0" encoding="utf-8"?>
<w:document xmlns:w="http://schemas.openxmlformats.org/wordprocessingml/2006/main">
  <w:body>
    <w:p>
      <w:r>
        <w:t>H-1163.2</w:t>
      </w:r>
    </w:p>
    <w:p>
      <w:pPr>
        <w:jc w:val="center"/>
      </w:pPr>
      <w:r>
        <w:t>_______________________________________________</w:t>
      </w:r>
    </w:p>
    <w:p/>
    <w:p>
      <w:pPr>
        <w:jc w:val="center"/>
      </w:pPr>
      <w:r>
        <w:rPr>
          <w:b/>
        </w:rPr>
        <w:t>HOUSE BILL 1850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Clibborn, Orcutt, Takko, Harmsworth, Riccelli, Rodne, Bergquist, Wilson, Robinson, Smith, Muri, and Magendanz</w:t>
      </w:r>
    </w:p>
    <w:p/>
    <w:p>
      <w:r>
        <w:rPr>
          <w:t xml:space="preserve">Read first time 01/30/15.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efficiency of conducting certain department of transportation actions by exempting these actions from obtaining local reviews or permits under the shoreline management act; amending RCW 90.58.355;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the legislature finds that regulatory reviews under chapter 90.58 RCW should be reformed. The activities of the department of transportation are guided by manuals and standards of practice designed to effectively avoid and minimize impacts to the environment. These activities are also subject to periodically renewed programmatic permits from federal agencies, the department of fish and wildlife, and the department of ecology water quality program. Adding local permits or letters of exemption under the shoreline management act does not substantively improve the environmental outcomes of this work. Adding these local reviews creates time delays, the imposition of inconsistent standards and manuals, and uncertainty in the permitting process. Therefore, the legislature finds that it is in the public interest to exclude state highway maintenance and minor safety upgrade activities from local review and approval processes under the shoreline management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(3)(a) </w:t>
      </w:r>
      <w:r>
        <w:rPr>
          <w:u w:val="single"/>
        </w:rPr>
        <w:t xml:space="preserve">The following department of transportation projects and activities if they meet the conditions of (b) of this subsection:</w:t>
      </w:r>
    </w:p>
    <w:p>
      <w:pPr>
        <w:spacing w:before="0" w:after="0" w:line="408" w:lineRule="exact"/>
        <w:ind w:left="0" w:right="0" w:firstLine="576"/>
        <w:jc w:val="left"/>
      </w:pPr>
      <w:r>
        <w:rPr>
          <w:u w:val="single"/>
        </w:rPr>
        <w:t xml:space="preserve">(i) Maintenance, repair, reconstruction, restoration, retrofitting, or replacement of any road, highway, bridge, tunnel, or transit facility such as a ferry dock or bus transfer station, including ancillary transportation facilities such as </w:t>
      </w:r>
      <w:r>
        <w:rPr>
          <w:u w:val="single"/>
        </w:rPr>
        <w:t xml:space="preserve">p</w:t>
      </w:r>
      <w:r>
        <w:rPr>
          <w:u w:val="single"/>
        </w:rPr>
        <w:t xml:space="preserve">edestrian/bicycle</w:t>
      </w:r>
      <w:r>
        <w:rPr>
          <w:u w:val="single"/>
        </w:rPr>
        <w:t xml:space="preserve"> paths and bike lanes;</w:t>
      </w:r>
    </w:p>
    <w:p>
      <w:pPr>
        <w:spacing w:before="0" w:after="0" w:line="408" w:lineRule="exact"/>
        <w:ind w:left="0" w:right="0" w:firstLine="576"/>
        <w:jc w:val="left"/>
      </w:pPr>
      <w:r>
        <w:rPr>
          <w:u w:val="single"/>
        </w:rPr>
        <w:t xml:space="preserve">(ii) Construction or installation of safety structures and equipment, including pavement marking, freeway surveillance and control systems, railroad protective devices not including grade-separated crossings, grooving, glare screen, safety barriers, energy attenuators, and hazard/danger tree removal.</w:t>
      </w:r>
    </w:p>
    <w:p>
      <w:pPr>
        <w:spacing w:before="0" w:after="0" w:line="408" w:lineRule="exact"/>
        <w:ind w:left="0" w:right="0" w:firstLine="576"/>
        <w:jc w:val="left"/>
      </w:pPr>
      <w:r>
        <w:rPr>
          <w:u w:val="single"/>
        </w:rPr>
        <w:t xml:space="preserve">(b) Activities exempted under this subsection must occur within the right-of-way of state highway facilities or the lease or ownership area for ferry terminals. For purposes of this section, the replacement of structures and construction or installation of safety structures and equipment does not include new travel lanes or the expansion of transportation facilities. The replacement of structures must be comparable to the original structure, including size, shape, configuration, and location, except to meet current engineering standards or environmental permit requirements</w:t>
      </w:r>
      <w:r>
        <w:rPr/>
        <w:t xml:space="preserve">.</w:t>
      </w:r>
    </w:p>
    <w:p/>
    <w:p>
      <w:pPr>
        <w:jc w:val="center"/>
      </w:pPr>
      <w:r>
        <w:rPr>
          <w:b/>
        </w:rPr>
        <w:t>--- END ---</w:t>
      </w:r>
    </w:p>
    <w:sectPr>
      <w:pgNumType w:start="1"/>
      <w:footerReference xmlns:r="http://schemas.openxmlformats.org/officeDocument/2006/relationships" r:id="Re5dd9e669b4f4d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9f02dbf8564726" /><Relationship Type="http://schemas.openxmlformats.org/officeDocument/2006/relationships/footer" Target="/word/footer.xml" Id="Re5dd9e669b4f4d8d" /></Relationships>
</file>