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350b46347046ae" /></Relationships>
</file>

<file path=word/document.xml><?xml version="1.0" encoding="utf-8"?>
<w:document xmlns:w="http://schemas.openxmlformats.org/wordprocessingml/2006/main">
  <w:body>
    <w:p>
      <w:r>
        <w:t>H-0707.2</w:t>
      </w:r>
    </w:p>
    <w:p>
      <w:pPr>
        <w:jc w:val="center"/>
      </w:pPr>
      <w:r>
        <w:t>_______________________________________________</w:t>
      </w:r>
    </w:p>
    <w:p/>
    <w:p>
      <w:pPr>
        <w:jc w:val="center"/>
      </w:pPr>
      <w:r>
        <w:rPr>
          <w:b/>
        </w:rPr>
        <w:t>HOUSE BILL 1824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Takko, Johnson, Van De Wege, Fitzgibbon, Kochmar, Ryu, Goodman, and McBride</w:t>
      </w:r>
    </w:p>
    <w:p/>
    <w:p>
      <w:r>
        <w:rPr>
          <w:t xml:space="preserve">Read first time 01/29/15.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fire safety with long-life smoke detection devices; adding a new section to chapter 19.27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lack of properly working smoke alarms poses a serious threat. National fire protection association statistics indicate that ninety-four percent of households in the United States have smoke detectors, but thirty percent of those alarms are inoperable. The death rate per one hundred reported fires is twice as high in homes without working smoke alarms as it is in home fires with protection. Further, two-thirds of all home fire deaths occur in residences with no smoke alarm or no working smoke alarm, primarily due to dead or missing batteries. The legislature finds that smoke alarms with nonremovable, nonreplaceable batteries eliminate the need to replace the battery, something many homeowners fail to do.</w:t>
      </w:r>
    </w:p>
    <w:p>
      <w:pPr>
        <w:spacing w:before="0" w:after="0" w:line="408" w:lineRule="exact"/>
        <w:ind w:left="0" w:right="0" w:firstLine="576"/>
        <w:jc w:val="left"/>
      </w:pPr>
      <w:r>
        <w:rPr/>
        <w:t xml:space="preserve">(2) The average time to escape in a residential fire is about three minutes. A working alarm that can give advance warning to alert residents of a fire incident is important to reduce fatality and injury of both residents and firefighters and allow firefighters to more rapidly control the fire.</w:t>
      </w:r>
    </w:p>
    <w:p>
      <w:pPr>
        <w:spacing w:before="0" w:after="0" w:line="408" w:lineRule="exact"/>
        <w:ind w:left="0" w:right="0" w:firstLine="576"/>
        <w:jc w:val="left"/>
      </w:pPr>
      <w:r>
        <w:rPr/>
        <w:t xml:space="preserve">(3) In one recent incident in the Auburn area, an eight-unit apartment burned and all eight smoke alarms were inoperable. A December 2013 Bellingham fire in a home that contained a smoke alarm with no battery took the life of nineteen year old Adam LaVine. It is the intent of the legislature to prevent similar tragedies from happening in the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Commencing July 1, 2017, all smoke alarms that are solely battery powered, including combination smoke alarms offered for retail sale in this state for the purpose of installation in residential buildings, must contain a nonreplaceable, nonremovable battery capable of powering the smoke alarm for a minimum of ten years.</w:t>
      </w:r>
    </w:p>
    <w:p>
      <w:pPr>
        <w:spacing w:before="0" w:after="0" w:line="408" w:lineRule="exact"/>
        <w:ind w:left="0" w:right="0" w:firstLine="576"/>
        <w:jc w:val="left"/>
      </w:pPr>
      <w:r>
        <w:rPr/>
        <w:t xml:space="preserve">(2) Commencing July 1, 2017, all smoke alarms or combination smoke alarms must:</w:t>
      </w:r>
    </w:p>
    <w:p>
      <w:pPr>
        <w:spacing w:before="0" w:after="0" w:line="408" w:lineRule="exact"/>
        <w:ind w:left="0" w:right="0" w:firstLine="576"/>
        <w:jc w:val="left"/>
      </w:pPr>
      <w:r>
        <w:rPr/>
        <w:t xml:space="preserve">(a) Display the date of manufacture;</w:t>
      </w:r>
    </w:p>
    <w:p>
      <w:pPr>
        <w:spacing w:before="0" w:after="0" w:line="408" w:lineRule="exact"/>
        <w:ind w:left="0" w:right="0" w:firstLine="576"/>
        <w:jc w:val="left"/>
      </w:pPr>
      <w:r>
        <w:rPr/>
        <w:t xml:space="preserve">(b) Provide a place on the device where the date of installation can be written. The date of installation must be visible to the consumer without removing the alarm from its base or mounting bracket; and</w:t>
      </w:r>
    </w:p>
    <w:p>
      <w:pPr>
        <w:spacing w:before="0" w:after="0" w:line="408" w:lineRule="exact"/>
        <w:ind w:left="0" w:right="0" w:firstLine="576"/>
        <w:jc w:val="left"/>
      </w:pPr>
      <w:r>
        <w:rPr/>
        <w:t xml:space="preserve">(c) Incorporate a hush feature.</w:t>
      </w:r>
    </w:p>
    <w:p>
      <w:pPr>
        <w:spacing w:before="0" w:after="0" w:line="408" w:lineRule="exact"/>
        <w:ind w:left="0" w:right="0" w:firstLine="576"/>
        <w:jc w:val="left"/>
      </w:pPr>
      <w:r>
        <w:rPr/>
        <w:t xml:space="preserve">(3) Subsections (1) and (2) of this section do not apply to: </w:t>
      </w:r>
    </w:p>
    <w:p>
      <w:pPr>
        <w:spacing w:before="0" w:after="0" w:line="408" w:lineRule="exact"/>
        <w:ind w:left="0" w:right="0" w:firstLine="576"/>
        <w:jc w:val="left"/>
      </w:pPr>
      <w:r>
        <w:rPr/>
        <w:t xml:space="preserve">(a) Smoke detectors intended to be used with a fire alarm or household fire alarm control unit;</w:t>
      </w:r>
    </w:p>
    <w:p>
      <w:pPr>
        <w:spacing w:before="0" w:after="0" w:line="408" w:lineRule="exact"/>
        <w:ind w:left="0" w:right="0" w:firstLine="576"/>
        <w:jc w:val="left"/>
      </w:pPr>
      <w:r>
        <w:rPr/>
        <w:t xml:space="preserve">(b) Smoke alarms that send a supervision and battery depletion signal to a fire alarm or household fire alarm control unit via a low-power wireless communication signal;</w:t>
      </w:r>
    </w:p>
    <w:p>
      <w:pPr>
        <w:spacing w:before="0" w:after="0" w:line="408" w:lineRule="exact"/>
        <w:ind w:left="0" w:right="0" w:firstLine="576"/>
        <w:jc w:val="left"/>
      </w:pPr>
      <w:r>
        <w:rPr/>
        <w:t xml:space="preserve">(c) Smoke alarms that use low-power radio frequency wireless communication signal for interconnection;</w:t>
      </w:r>
    </w:p>
    <w:p>
      <w:pPr>
        <w:spacing w:before="0" w:after="0" w:line="408" w:lineRule="exact"/>
        <w:ind w:left="0" w:right="0" w:firstLine="576"/>
        <w:jc w:val="left"/>
      </w:pPr>
      <w:r>
        <w:rPr/>
        <w:t xml:space="preserve">(d) Smoke alarms that use a low-frequency audible alarm used by the hearing impaired or elderly that enhance waking effectiveness;</w:t>
      </w:r>
    </w:p>
    <w:p>
      <w:pPr>
        <w:spacing w:before="0" w:after="0" w:line="408" w:lineRule="exact"/>
        <w:ind w:left="0" w:right="0" w:firstLine="576"/>
        <w:jc w:val="left"/>
      </w:pPr>
      <w:r>
        <w:rPr/>
        <w:t xml:space="preserve">(e) Smoke alarms with multisensing technologies; or</w:t>
      </w:r>
    </w:p>
    <w:p>
      <w:pPr>
        <w:spacing w:before="0" w:after="0" w:line="408" w:lineRule="exact"/>
        <w:ind w:left="0" w:right="0" w:firstLine="576"/>
        <w:jc w:val="left"/>
      </w:pPr>
      <w:r>
        <w:rPr/>
        <w:t xml:space="preserve">(f) If a retailer can show proof that a product prohibited for sale under this section was in stock and physically in the retail location before the effective date of this section, that retail location may sell that product until it is sold out, or until July 1, 2017.</w:t>
      </w:r>
    </w:p>
    <w:p>
      <w:pPr>
        <w:spacing w:before="0" w:after="0" w:line="408" w:lineRule="exact"/>
        <w:ind w:left="0" w:right="0" w:firstLine="576"/>
        <w:jc w:val="left"/>
      </w:pPr>
      <w:r>
        <w:rPr/>
        <w:t xml:space="preserve">(4) After July 1, 2017, the authority having jurisdiction may impose a civil penalty for a violation of this section. However, a written warning notice must be issued for a first violation.</w:t>
      </w:r>
    </w:p>
    <w:p/>
    <w:p>
      <w:pPr>
        <w:jc w:val="center"/>
      </w:pPr>
      <w:r>
        <w:rPr>
          <w:b/>
        </w:rPr>
        <w:t>--- END ---</w:t>
      </w:r>
    </w:p>
    <w:sectPr>
      <w:pgNumType w:start="1"/>
      <w:footerReference xmlns:r="http://schemas.openxmlformats.org/officeDocument/2006/relationships" r:id="R81d1b598190846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b29592918c40ef" /><Relationship Type="http://schemas.openxmlformats.org/officeDocument/2006/relationships/footer" Target="/word/footer.xml" Id="R81d1b5981908464a" /></Relationships>
</file>