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186985b25a402b" /></Relationships>
</file>

<file path=word/document.xml><?xml version="1.0" encoding="utf-8"?>
<w:document xmlns:w="http://schemas.openxmlformats.org/wordprocessingml/2006/main">
  <w:body>
    <w:p>
      <w:r>
        <w:t>H-1117.1</w:t>
      </w:r>
    </w:p>
    <w:p>
      <w:pPr>
        <w:jc w:val="center"/>
      </w:pPr>
      <w:r>
        <w:t>_______________________________________________</w:t>
      </w:r>
    </w:p>
    <w:p/>
    <w:p>
      <w:pPr>
        <w:jc w:val="center"/>
      </w:pPr>
      <w:r>
        <w:rPr>
          <w:b/>
        </w:rPr>
        <w:t>HOUSE BILL 1782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Wilcox, Springer, Takko, Blake, Short, Nealey, Pollet, Vick, Parker, Morris, Reykdal, Orcutt, Schmick, DeBolt, MacEwen, Smith, Dent, Manweller, Robinson, Fitzgibbon, Wylie, Fagan, Tharinger, and Stokesbary</w:t>
      </w:r>
    </w:p>
    <w:p/>
    <w:p>
      <w:r>
        <w:rPr>
          <w:t xml:space="preserve">Read first time 01/28/15.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expenditures under the state universal communications services program; and amending RCW 80.36.650.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2013 2nd sp.s. c 8 s 203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during the time over which incumbent communications providers in the state are adapting to changes in federal universal service fund and intercarrier compensation support.</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services under the rates, terms, and conditions established by the commission under this chapter for the period covered by the distribution. The commission must implement and administer the program under terms and conditions established in RCW 80.36.630 through 80.36.690. Expenditures for the program may not exceed five million dollars per fiscal year</w:t>
      </w:r>
      <w:r>
        <w:rPr>
          <w:u w:val="single"/>
        </w:rPr>
        <w:t xml:space="preserve">; provided, however, that if less than five million dollars is expended in a fiscal year, or has been previously expended in a prior fiscal year from 2013 through 2020, the unexpended portion must be carried over and expended in a subsequent fiscal year in addition to the five million dollars allotted for that fiscal year</w:t>
      </w:r>
      <w:r>
        <w:rPr/>
        <w:t xml:space="preserve">.</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 The communications provider is: (i) An incumbent local exchange carrier serving fewer than forty thousand access lines in the state; or (ii) a radio communications service company providing wireless two-way voice communications service to less than the equivalent of forty thousand access lines in the state. For purposes of determining the access line threshold in this subsection, the access lines or equivalents of all affiliates must be counted as a single threshold, if the lines or equivalents are located in Washington;</w:t>
      </w:r>
    </w:p>
    <w:p>
      <w:pPr>
        <w:spacing w:before="0" w:after="0" w:line="408" w:lineRule="exact"/>
        <w:ind w:left="0" w:right="0" w:firstLine="576"/>
        <w:jc w:val="left"/>
      </w:pPr>
      <w:r>
        <w:rPr/>
        <w:t xml:space="preserve">(b) The customers of the communications provider are at risk of rate instability or service interruptions or cessations absent a distribution to the provider that will allow the provider to maintain rates reasonably close to the benchmark; and</w:t>
      </w:r>
    </w:p>
    <w:p>
      <w:pPr>
        <w:spacing w:before="0" w:after="0" w:line="408" w:lineRule="exact"/>
        <w:ind w:left="0" w:right="0" w:firstLine="576"/>
        <w:jc w:val="left"/>
      </w:pPr>
      <w:r>
        <w:rPr/>
        <w:t xml:space="preserve">(c) The communications provider meets any other requirements established by the commission pertaining to the provision of communications services, including basic telecommunications services.</w:t>
      </w:r>
    </w:p>
    <w:p>
      <w:pPr>
        <w:spacing w:before="0" w:after="0" w:line="408" w:lineRule="exact"/>
        <w:ind w:left="0" w:right="0" w:firstLine="576"/>
        <w:jc w:val="left"/>
      </w:pPr>
      <w:r>
        <w:rPr/>
        <w:t xml:space="preserve">(4)(a) Distributions to eligible communications providers are based on a benchmark established by the commission. 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p>
    <w:p>
      <w:pPr>
        <w:spacing w:before="0" w:after="0" w:line="408" w:lineRule="exact"/>
        <w:ind w:left="0" w:right="0" w:firstLine="576"/>
        <w:jc w:val="left"/>
      </w:pPr>
      <w:r>
        <w:rPr/>
        <w:t xml:space="preserve">(b)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rPr/>
        <w:t xml:space="preserve">(7) The commission must establish an advisory board, consisting of a reasonable balance of representatives from different types of communications providers and consumers, to advise the commission on  any rules and policies governing the operation of the program.</w:t>
      </w:r>
    </w:p>
    <w:p>
      <w:pPr>
        <w:spacing w:before="0" w:after="0" w:line="408" w:lineRule="exact"/>
        <w:ind w:left="0" w:right="0" w:firstLine="576"/>
        <w:jc w:val="left"/>
      </w:pPr>
      <w:r>
        <w:rPr/>
        <w:t xml:space="preserve">(8) The program terminates on June 30, 2019, and no distributions may be made after that date.</w:t>
      </w:r>
    </w:p>
    <w:p>
      <w:pPr>
        <w:spacing w:before="0" w:after="0" w:line="408" w:lineRule="exact"/>
        <w:ind w:left="0" w:right="0" w:firstLine="576"/>
        <w:jc w:val="left"/>
      </w:pPr>
      <w:r>
        <w:rPr/>
        <w:t xml:space="preserve">(9) This section expires July 1, 2020.</w:t>
      </w:r>
    </w:p>
    <w:p/>
    <w:p>
      <w:pPr>
        <w:jc w:val="center"/>
      </w:pPr>
      <w:r>
        <w:rPr>
          <w:b/>
        </w:rPr>
        <w:t>--- END ---</w:t>
      </w:r>
    </w:p>
    <w:sectPr>
      <w:pgNumType w:start="1"/>
      <w:footerReference xmlns:r="http://schemas.openxmlformats.org/officeDocument/2006/relationships" r:id="Rdb49d74cd85d4a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bd706fdfe04fb1" /><Relationship Type="http://schemas.openxmlformats.org/officeDocument/2006/relationships/footer" Target="/word/footer.xml" Id="Rdb49d74cd85d4a89" /></Relationships>
</file>