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5bb40119534b8d" /></Relationships>
</file>

<file path=word/document.xml><?xml version="1.0" encoding="utf-8"?>
<w:document xmlns:w="http://schemas.openxmlformats.org/wordprocessingml/2006/main">
  <w:body>
    <w:p>
      <w:r>
        <w:t>H-1011.2</w:t>
      </w:r>
    </w:p>
    <w:p>
      <w:pPr>
        <w:jc w:val="center"/>
      </w:pPr>
      <w:r>
        <w:t>_______________________________________________</w:t>
      </w:r>
    </w:p>
    <w:p/>
    <w:p>
      <w:pPr>
        <w:jc w:val="center"/>
      </w:pPr>
      <w:r>
        <w:rPr>
          <w:b/>
        </w:rPr>
        <w:t>HOUSE BILL 1776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and Hurst</w:t>
      </w:r>
    </w:p>
    <w:p/>
    <w:p>
      <w:r>
        <w:rPr>
          <w:t xml:space="preserve">Read first time 01/28/15.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and delivery services for licensed marijuana producers, marijuana processors, and marijuana retailers; amending RCW 69.50.4013, 69.50.4014, and 18.170.020; and adding new sections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marijuana producer, marijuana processor,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section 2 of this act, to physically transport or deliver marijuana, useable marijuana, marijuana concentrates, and marijuana-infused products within the state.</w:t>
      </w:r>
    </w:p>
    <w:p>
      <w:pPr>
        <w:spacing w:before="0" w:after="0" w:line="408" w:lineRule="exact"/>
        <w:ind w:left="0" w:right="0" w:firstLine="576"/>
        <w:jc w:val="left"/>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section 2 of this act, the state liquor control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state liquor control board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state liquor control board must adopt rules providing for an annual licensing procedure of a common carrier who seeks to transport or deliver marijuana, useable marijuana, marijuana concentrates, and marijuana-infused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state liquor control board may adopt rules establishing the maximum amounts of marijuana, useable marijuana, marijuana concentrates, and marijuana-infused products that may be physically transported or delivered at one time by a common carrier as provided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rPr>
          <w:u w:val="single"/>
        </w:rPr>
        <w:t xml:space="preserve">(a)</w:t>
      </w:r>
      <w:r>
        <w:rPr/>
        <w:t xml:space="preserve"> The possession, by a person twenty-one years of age or older, of useable marijuana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u w:val="single"/>
        </w:rPr>
        <w:t xml:space="preserve">(b) The possession of marijuana, useable marijuana, marijuana concentrates, and marijuana-infused products being physically transported or delivered within the state, in amounts not exceeding those that may be established under section 2(3) of this act, by an employee of a common carrier when performing the duties authorized under section 1 of this act,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spacing w:before="0" w:after="0" w:line="408" w:lineRule="exact"/>
        <w:ind w:left="0" w:right="0" w:firstLine="576"/>
        <w:jc w:val="left"/>
      </w:pPr>
      <w:r>
        <w:rPr/>
        <w:t xml:space="preserve">Except as provided in RCW 69.50.401(2)(c) </w:t>
      </w:r>
      <w:r>
        <w:rPr>
          <w:u w:val="single"/>
        </w:rPr>
        <w:t xml:space="preserve">or as otherwise authorized by this chapter</w:t>
      </w:r>
      <w:r>
        <w:rPr/>
        <w:t xml:space="preserve">, any person found guilty of possession of forty grams or less of </w:t>
      </w:r>
      <w:r>
        <w:t>((</w:t>
      </w:r>
      <w:r>
        <w:rPr>
          <w:strike/>
        </w:rPr>
        <w:t xml:space="preserve">marihuana</w:t>
      </w:r>
      <w:r>
        <w:t>))</w:t>
      </w:r>
      <w:r>
        <w:rPr>
          <w:u w:val="single"/>
        </w:rPr>
        <w:t xml:space="preserve">marijuana</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2007 c 154 s 2 are each amended to read as follows:</w:t>
      </w:r>
    </w:p>
    <w:p>
      <w:pPr>
        <w:spacing w:before="0" w:after="0" w:line="408" w:lineRule="exact"/>
        <w:ind w:left="0" w:right="0" w:firstLine="576"/>
        <w:jc w:val="left"/>
      </w:pPr>
      <w:r>
        <w:rPr/>
        <w:t xml:space="preserve">The requirements of this chapter do not apply to:</w:t>
      </w:r>
    </w:p>
    <w:p>
      <w:pPr>
        <w:spacing w:before="0" w:after="0" w:line="408" w:lineRule="exact"/>
        <w:ind w:left="0" w:right="0" w:firstLine="576"/>
        <w:jc w:val="left"/>
      </w:pPr>
      <w:r>
        <w:rPr/>
        <w:t xml:space="preserve">(1) A person who is employed exclusively or regularly by one employer and performs the functions of a private security guard solely in connection with the affairs of that employer, if the employer is not a private security company</w:t>
      </w:r>
      <w:r>
        <w:rPr>
          <w:u w:val="single"/>
        </w:rPr>
        <w:t xml:space="preserve">. However, in accordance with section 1 of this act, an employee engaged in marijuana-related transportation or delivery services on behalf of a common carrier must be licensed as an armed private security guard under this chapter in order to be authorized to carry or use a firearm while providing such services</w:t>
      </w:r>
      <w:r>
        <w:rPr/>
        <w:t xml:space="preserve">;</w:t>
      </w:r>
    </w:p>
    <w:p>
      <w:pPr>
        <w:spacing w:before="0" w:after="0" w:line="408" w:lineRule="exact"/>
        <w:ind w:left="0" w:right="0" w:firstLine="576"/>
        <w:jc w:val="left"/>
      </w:pPr>
      <w:r>
        <w:rPr/>
        <w:t xml:space="preserve">(2) A sworn peace officer while engaged in the performance of the officer's official duties;</w:t>
      </w:r>
    </w:p>
    <w:p>
      <w:pPr>
        <w:spacing w:before="0" w:after="0" w:line="408" w:lineRule="exact"/>
        <w:ind w:left="0" w:right="0" w:firstLine="576"/>
        <w:jc w:val="left"/>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spacing w:before="0" w:after="0" w:line="408" w:lineRule="exact"/>
        <w:ind w:left="0" w:right="0" w:firstLine="576"/>
        <w:jc w:val="left"/>
      </w:pPr>
      <w:r>
        <w:rPr/>
        <w:t xml:space="preserve">(4) A person performing crowd management or guest services including, but not limited to, a person described as a ticket taker, usher, door attendant, parking attendant, crowd monitor, or event staff who:</w:t>
      </w:r>
    </w:p>
    <w:p>
      <w:pPr>
        <w:spacing w:before="0" w:after="0" w:line="408" w:lineRule="exact"/>
        <w:ind w:left="0" w:right="0" w:firstLine="576"/>
        <w:jc w:val="left"/>
      </w:pPr>
      <w:r>
        <w:rPr/>
        <w:t xml:space="preserve">(a) Does not carry a firearm or other dangerous weapon including, but not limited to, a stun gun, taser, pepper mace, or nightstick;</w:t>
      </w:r>
    </w:p>
    <w:p>
      <w:pPr>
        <w:spacing w:before="0" w:after="0" w:line="408" w:lineRule="exact"/>
        <w:ind w:left="0" w:right="0" w:firstLine="576"/>
        <w:jc w:val="left"/>
      </w:pPr>
      <w:r>
        <w:rPr/>
        <w:t xml:space="preserve">(b) Does not wear a uniform or clothing readily identifiable by a member of the public as that worn by a private security officer or law enforcement officer; and</w:t>
      </w:r>
    </w:p>
    <w:p>
      <w:pPr>
        <w:spacing w:before="0" w:after="0" w:line="408" w:lineRule="exact"/>
        <w:ind w:left="0" w:right="0" w:firstLine="576"/>
        <w:jc w:val="left"/>
      </w:pPr>
      <w:r>
        <w:rPr/>
        <w:t xml:space="preserve">(c) Does not have as his or her primary responsibility the detainment of persons or placement of persons under arrest.</w:t>
      </w:r>
    </w:p>
    <w:p>
      <w:pPr>
        <w:spacing w:before="0" w:after="0" w:line="408" w:lineRule="exact"/>
        <w:ind w:left="0" w:right="0" w:firstLine="576"/>
        <w:jc w:val="left"/>
      </w:pPr>
      <w:r>
        <w:rPr/>
        <w:t xml:space="preserve">The exemption provided in this subsection applies only when a crowd has assembled for the purpose of attending or taking part in an organized event, including preevent assembly, event operation hours, and postevent departure activities.</w:t>
      </w:r>
    </w:p>
    <w:p/>
    <w:p>
      <w:pPr>
        <w:jc w:val="center"/>
      </w:pPr>
      <w:r>
        <w:rPr>
          <w:b/>
        </w:rPr>
        <w:t>--- END ---</w:t>
      </w:r>
    </w:p>
    <w:sectPr>
      <w:pgNumType w:start="1"/>
      <w:footerReference xmlns:r="http://schemas.openxmlformats.org/officeDocument/2006/relationships" r:id="R4b8b615fbf1c4a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6c6c35f22c43b2" /><Relationship Type="http://schemas.openxmlformats.org/officeDocument/2006/relationships/footer" Target="/word/footer.xml" Id="R4b8b615fbf1c4ad5" /></Relationships>
</file>