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e994836c2e4df8" /></Relationships>
</file>

<file path=word/document.xml><?xml version="1.0" encoding="utf-8"?>
<w:document xmlns:w="http://schemas.openxmlformats.org/wordprocessingml/2006/main">
  <w:body>
    <w:p>
      <w:r>
        <w:t>Z-0456.2</w:t>
      </w:r>
    </w:p>
    <w:p>
      <w:pPr>
        <w:jc w:val="center"/>
      </w:pPr>
      <w:r>
        <w:t>_______________________________________________</w:t>
      </w:r>
    </w:p>
    <w:p/>
    <w:p>
      <w:pPr>
        <w:jc w:val="center"/>
      </w:pPr>
      <w:r>
        <w:rPr>
          <w:b/>
        </w:rPr>
        <w:t>HOUSE BILL 1769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Wilcox, Springer, Manweller, Harris, Farrell, Tarleton, Magendanz, Walkinshaw, Rodne, Peterson, Buys, Zeiger, Senn, Goodman, Reykdal, Morris, Wilson, and Young; by request of Office of Financial Management</w:t>
      </w:r>
    </w:p>
    <w:p/>
    <w:p>
      <w:r>
        <w:rPr>
          <w:t xml:space="preserve">Read first time 01/28/15.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reinstating tax preferences for high-technology research and development; amending RCW 82.63.020 and 82.63.045; reenacting and amending RCW 82.63.010; adding a new section to chapter 82.04 RCW; adding a new section to chapter 82.63 RCW;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credit contained in section 2 of this act and the tax deferrals contained in sections 3 through 6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intended to improve industry competitiveness and create or retain jobs, as indicated in RCW 82.32.808(2) (b) and (c).</w:t>
      </w:r>
    </w:p>
    <w:p>
      <w:pPr>
        <w:spacing w:before="0" w:after="0" w:line="408" w:lineRule="exact"/>
        <w:ind w:left="0" w:right="0" w:firstLine="576"/>
        <w:jc w:val="left"/>
      </w:pPr>
      <w:r>
        <w:rPr/>
        <w:t xml:space="preserve">(3) It is the legislature's specific public policy objective to improve industry competitiveness and create or retain more jobs. It is the legislature's intent to provide a business and occupation tax credit for high-technology companies performing research and development and a sales and use tax deferral for certain construction for new and expanding high-technology companies conducting research and development in the fields of advanced computing, advanced materials, biotechnology, electronic device technology, or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high-technology industry.</w:t>
      </w:r>
    </w:p>
    <w:p>
      <w:pPr>
        <w:spacing w:before="0" w:after="0" w:line="408" w:lineRule="exact"/>
        <w:ind w:left="0" w:right="0" w:firstLine="576"/>
        <w:jc w:val="left"/>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(3) of this section, the joint legislative audit and review committee may refer to: (a) Employment data available from the employment security department; and (b) North American industrial code system (NAICS) from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spacing w:before="0" w:after="0" w:line="408" w:lineRule="exact"/>
        <w:ind w:left="0" w:right="0" w:firstLine="576"/>
        <w:jc w:val="left"/>
      </w:pPr>
      <w:r>
        <w:rPr/>
        <w:t xml:space="preserve">(2) The credit is calculated as follows:</w:t>
      </w:r>
    </w:p>
    <w:p>
      <w:pPr>
        <w:spacing w:before="0" w:after="0" w:line="408" w:lineRule="exact"/>
        <w:ind w:left="0" w:right="0" w:firstLine="576"/>
        <w:jc w:val="left"/>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spacing w:before="0" w:after="0" w:line="408" w:lineRule="exact"/>
        <w:ind w:left="0" w:right="0" w:firstLine="576"/>
        <w:jc w:val="left"/>
      </w:pPr>
      <w:r>
        <w:rPr/>
        <w:t xml:space="preserve">(b) Subtract 0.92 percent of the person's taxable amount from the amount determined under (a) of this subsection;</w:t>
      </w:r>
    </w:p>
    <w:p>
      <w:pPr>
        <w:spacing w:before="0" w:after="0" w:line="408" w:lineRule="exact"/>
        <w:ind w:left="0" w:right="0" w:firstLine="576"/>
        <w:jc w:val="left"/>
      </w:pPr>
      <w:r>
        <w:rPr/>
        <w:t xml:space="preserve">(c) Multiply the amount determined under (b) of this subsection by 1.50 percent.</w:t>
      </w:r>
    </w:p>
    <w:p>
      <w:pPr>
        <w:spacing w:before="0" w:after="0" w:line="408" w:lineRule="exact"/>
        <w:ind w:left="0" w:right="0" w:firstLine="576"/>
        <w:jc w:val="left"/>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spacing w:before="0" w:after="0" w:line="408" w:lineRule="exact"/>
        <w:ind w:left="0" w:right="0" w:firstLine="576"/>
        <w:jc w:val="left"/>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spacing w:before="0" w:after="0" w:line="408" w:lineRule="exact"/>
        <w:ind w:left="0" w:right="0" w:firstLine="576"/>
        <w:jc w:val="left"/>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section may be claimed by the person who performed the qualified research and development subject to the limitations set forth in subsection (4) of this section.</w:t>
      </w:r>
    </w:p>
    <w:p>
      <w:pPr>
        <w:spacing w:before="0" w:after="0" w:line="408" w:lineRule="exact"/>
        <w:ind w:left="0" w:right="0" w:firstLine="576"/>
        <w:jc w:val="left"/>
      </w:pPr>
      <w:r>
        <w:rPr/>
        <w:t xml:space="preserve">(6) A person claiming the credit provided in this section must file a complete annual survey with the department under RCW 82.32.585.</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"Qualified research and development" shall have the same meaning as in RCW 82.63.010.</w:t>
      </w:r>
    </w:p>
    <w:p>
      <w:pPr>
        <w:spacing w:before="0" w:after="0" w:line="408" w:lineRule="exact"/>
        <w:ind w:left="0" w:right="0" w:firstLine="576"/>
        <w:jc w:val="left"/>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spacing w:before="0" w:after="0" w:line="408" w:lineRule="exact"/>
        <w:ind w:left="0" w:right="0" w:firstLine="576"/>
        <w:jc w:val="left"/>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spacing w:before="0" w:after="0" w:line="408" w:lineRule="exact"/>
        <w:ind w:left="0" w:right="0" w:firstLine="576"/>
        <w:jc w:val="left"/>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spacing w:before="0" w:after="0" w:line="408" w:lineRule="exact"/>
        <w:ind w:left="0" w:right="0" w:firstLine="576"/>
        <w:jc w:val="left"/>
      </w:pPr>
      <w:r>
        <w:rPr/>
        <w:t xml:space="preserve">(8)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spacing w:before="0" w:after="0" w:line="408" w:lineRule="exact"/>
        <w:ind w:left="0" w:right="0" w:firstLine="576"/>
        <w:jc w:val="left"/>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spacing w:before="0" w:after="0" w:line="408" w:lineRule="exact"/>
        <w:ind w:left="0" w:right="0" w:firstLine="576"/>
        <w:jc w:val="left"/>
      </w:pPr>
      <w:r>
        <w:rPr/>
        <w:t xml:space="preserve">(3) "Applicant" means a person applying for a tax deferral under this chapter.</w:t>
      </w:r>
    </w:p>
    <w:p>
      <w:pPr>
        <w:spacing w:before="0" w:after="0" w:line="408" w:lineRule="exact"/>
        <w:ind w:left="0" w:right="0" w:firstLine="576"/>
        <w:jc w:val="left"/>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spacing w:before="0" w:after="0" w:line="408" w:lineRule="exact"/>
        <w:ind w:left="0" w:right="0" w:firstLine="576"/>
        <w:jc w:val="left"/>
      </w:pPr>
      <w:r>
        <w:rPr/>
        <w:t xml:space="preserve">(5) "Department" means the department of revenue.</w:t>
      </w:r>
    </w:p>
    <w:p>
      <w:pPr>
        <w:spacing w:before="0" w:after="0" w:line="408" w:lineRule="exact"/>
        <w:ind w:left="0" w:right="0" w:firstLine="576"/>
        <w:jc w:val="left"/>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spacing w:before="0" w:after="0" w:line="408" w:lineRule="exact"/>
        <w:ind w:left="0" w:right="0" w:firstLine="576"/>
        <w:jc w:val="left"/>
      </w:pPr>
      <w:r>
        <w:rPr/>
        <w:t xml:space="preserve">(7) "Eligible investment project" means an investment project </w:t>
      </w:r>
      <w:r>
        <w:t>((</w:t>
      </w:r>
      <w:r>
        <w:rPr>
          <w:strike/>
        </w:rPr>
        <w:t xml:space="preserve">which</w:t>
      </w:r>
      <w:r>
        <w:t>))</w:t>
      </w:r>
      <w:r>
        <w:rPr>
          <w:u w:val="single"/>
        </w:rPr>
        <w:t xml:space="preserve">that</w:t>
      </w:r>
      <w:r>
        <w:rPr/>
        <w:t xml:space="preserve"> either initiates a new operation, or expands or diversifies a current operation by expanding</w:t>
      </w:r>
      <w:r>
        <w:t>((</w:t>
      </w:r>
      <w:r>
        <w:rPr>
          <w:strike/>
        </w:rPr>
        <w:t xml:space="preserve">,</w:t>
      </w:r>
      <w:r>
        <w:t>))</w:t>
      </w:r>
      <w:r>
        <w:rPr>
          <w:u w:val="single"/>
        </w:rPr>
        <w:t xml:space="preserve">or</w:t>
      </w:r>
      <w:r>
        <w:rPr/>
        <w:t xml:space="preserve"> renovating</w:t>
      </w:r>
      <w:r>
        <w:t>((</w:t>
      </w:r>
      <w:r>
        <w:rPr>
          <w:strike/>
        </w:rPr>
        <w:t xml:space="preserve">, or equipping</w:t>
      </w:r>
      <w:r>
        <w:t>))</w:t>
      </w:r>
      <w:r>
        <w:rPr/>
        <w:t xml:space="preserve"> an existing facility. The lessor or owner of the qualified building is not eligible for a deferral unless:</w:t>
      </w:r>
    </w:p>
    <w:p>
      <w:pPr>
        <w:spacing w:before="0" w:after="0" w:line="408" w:lineRule="exact"/>
        <w:ind w:left="0" w:right="0" w:firstLine="576"/>
        <w:jc w:val="left"/>
      </w:pPr>
      <w:r>
        <w:rPr/>
        <w:t xml:space="preserve">(a) </w:t>
      </w:r>
      <w:r>
        <w:t>((</w:t>
      </w:r>
      <w:r>
        <w:rPr>
          <w:strike/>
        </w:rPr>
        <w:t xml:space="preserve">The underlying ownership of the buildings, machinery, and equipment vests exclusively in the same person; or</w:t>
      </w:r>
    </w:p>
    <w:p>
      <w:pPr>
        <w:spacing w:before="0" w:after="0" w:line="408" w:lineRule="exact"/>
        <w:ind w:left="0" w:right="0" w:firstLine="576"/>
        <w:jc w:val="left"/>
      </w:pPr>
      <w:r>
        <w:rPr>
          <w:strike/>
        </w:rPr>
        <w:t xml:space="preserve">(b)(i)</w:t>
      </w:r>
      <w:r>
        <w:t>))</w:t>
      </w:r>
      <w:r>
        <w:rPr/>
        <w:t xml:space="preserve"> The lessor by written contract agrees to pass the economic benefit of the deferral to the lessee;</w:t>
      </w:r>
    </w:p>
    <w:p>
      <w:pPr>
        <w:spacing w:before="0" w:after="0" w:line="408" w:lineRule="exact"/>
        <w:ind w:left="0" w:right="0" w:firstLine="576"/>
        <w:jc w:val="left"/>
      </w:pPr>
      <w:r>
        <w:t>((</w:t>
      </w:r>
      <w:r>
        <w:rPr>
          <w:strike/>
        </w:rPr>
        <w:t xml:space="preserve">(ii)</w:t>
      </w:r>
      <w:r>
        <w:t>))</w:t>
      </w:r>
      <w:r>
        <w:rPr>
          <w:u w:val="single"/>
        </w:rPr>
        <w:t xml:space="preserve">(b)</w:t>
      </w:r>
      <w:r>
        <w:rPr/>
        <w:t xml:space="preserve"> The lessee that receives the economic benefit of the deferral agrees in writing with the department to complete the annual survey required under RCW 82.63.020</w:t>
      </w:r>
      <w:r>
        <w:t>((</w:t>
      </w:r>
      <w:r>
        <w:rPr>
          <w:strike/>
        </w:rPr>
        <w:t xml:space="preserve">(2)</w:t>
      </w:r>
      <w:r>
        <w:t>))</w:t>
      </w:r>
      <w:r>
        <w:rPr>
          <w:u w:val="single"/>
        </w:rPr>
        <w:t xml:space="preserve">(4)</w:t>
      </w:r>
      <w:r>
        <w:rPr/>
        <w:t xml:space="preserve">; and</w:t>
      </w:r>
    </w:p>
    <w:p>
      <w:pPr>
        <w:spacing w:before="0" w:after="0" w:line="408" w:lineRule="exact"/>
        <w:ind w:left="0" w:right="0" w:firstLine="576"/>
        <w:jc w:val="left"/>
      </w:pPr>
      <w:r>
        <w:t>((</w:t>
      </w:r>
      <w:r>
        <w:rPr>
          <w:strike/>
        </w:rPr>
        <w:t xml:space="preserve">(iii)</w:t>
      </w:r>
      <w:r>
        <w:t>))</w:t>
      </w:r>
      <w:r>
        <w:rPr>
          <w:u w:val="single"/>
        </w:rPr>
        <w:t xml:space="preserve">(c)</w:t>
      </w:r>
      <w:r>
        <w:rPr/>
        <w:t xml:space="preserve">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0" w:after="0" w:line="408" w:lineRule="exact"/>
        <w:ind w:left="0" w:right="0" w:firstLine="576"/>
        <w:jc w:val="left"/>
      </w:pPr>
      <w:r>
        <w:rPr/>
        <w:t xml:space="preserve">(8) "Environmental technology" means assessment and prevention of threats or damage to human health or the environment, environmental cleanup, and the development of alternative energy sources.</w:t>
      </w:r>
    </w:p>
    <w:p>
      <w:pPr>
        <w:spacing w:before="0" w:after="0" w:line="408" w:lineRule="exact"/>
        <w:ind w:left="0" w:right="0" w:firstLine="576"/>
        <w:jc w:val="left"/>
      </w:pPr>
      <w:r>
        <w:rPr/>
        <w:t xml:space="preserve">(9)(a)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subsection (7) of this section; or</w:t>
      </w:r>
    </w:p>
    <w:p>
      <w:pPr>
        <w:spacing w:before="0" w:after="0" w:line="408" w:lineRule="exact"/>
        <w:ind w:left="0" w:right="0" w:firstLine="576"/>
        <w:jc w:val="left"/>
      </w:pPr>
      <w:r>
        <w:rPr/>
        <w:t xml:space="preserve">(iii) Tenant improvements for a qualified building, if the economic benefits of the deferral are passed to a lessee as provided in subsection (7) of this section.</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w:t>
      </w:r>
      <w:r>
        <w:t>((</w:t>
      </w:r>
      <w:r>
        <w:rPr>
          <w:strike/>
        </w:rPr>
        <w:t xml:space="preserve">shall apply</w:t>
      </w:r>
      <w:r>
        <w:t>))</w:t>
      </w:r>
      <w:r>
        <w:rPr>
          <w:u w:val="single"/>
        </w:rPr>
        <w:t xml:space="preserve">applies</w:t>
      </w:r>
      <w:r>
        <w:rPr/>
        <w:t xml:space="preserve"> separately to each phase.</w:t>
      </w:r>
    </w:p>
    <w:p>
      <w:pPr>
        <w:spacing w:before="0" w:after="0" w:line="408" w:lineRule="exact"/>
        <w:ind w:left="0" w:right="0" w:firstLine="576"/>
        <w:jc w:val="left"/>
      </w:pPr>
      <w:r>
        <w:rPr/>
        <w:t xml:space="preserve">(10) "Investment project" means an investment in qualified buildings </w:t>
      </w:r>
      <w:r>
        <w:t>((</w:t>
      </w:r>
      <w:r>
        <w:rPr>
          <w:strike/>
        </w:rPr>
        <w:t xml:space="preserve">or qualified machinery and equipment</w:t>
      </w:r>
      <w:r>
        <w:t>))</w:t>
      </w:r>
      <w:r>
        <w:rPr/>
        <w:t xml:space="preserve">, including labor and services rendered in the planning, installation, and construction or improvement of the project.</w:t>
      </w:r>
    </w:p>
    <w:p>
      <w:pPr>
        <w:spacing w:before="0" w:after="0" w:line="408" w:lineRule="exact"/>
        <w:ind w:left="0" w:right="0" w:firstLine="576"/>
        <w:jc w:val="left"/>
      </w:pPr>
      <w:r>
        <w:rPr/>
        <w:t xml:space="preserve">(11) </w:t>
      </w:r>
      <w:r>
        <w:rPr>
          <w:u w:val="single"/>
        </w:rPr>
        <w:t xml:space="preserve">"Meaningful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u w:val="single"/>
        </w:rPr>
        <w:t xml:space="preserve">(12)</w:t>
      </w:r>
      <w:r>
        <w:rPr/>
        <w:t xml:space="preserve"> "Multiple qualified buildings" means qualified buildings leased to the same person when such structures: (a) Are located within a five-mile radius; and (b) the initiation of construction of each building begins within a sixty-month period.</w:t>
      </w:r>
    </w:p>
    <w:p>
      <w:pPr>
        <w:spacing w:before="0" w:after="0" w:line="408" w:lineRule="exact"/>
        <w:ind w:left="0" w:right="0" w:firstLine="576"/>
        <w:jc w:val="left"/>
      </w:pPr>
      <w:r>
        <w:t>((</w:t>
      </w:r>
      <w:r>
        <w:rPr>
          <w:strike/>
        </w:rPr>
        <w:t xml:space="preserve">(12)</w:t>
      </w:r>
      <w:r>
        <w:t>))</w:t>
      </w:r>
      <w:r>
        <w:rPr>
          <w:u w:val="single"/>
        </w:rPr>
        <w:t xml:space="preserve">(13)</w:t>
      </w:r>
      <w:r>
        <w:rPr/>
        <w:t xml:space="preserve"> "Person" has the meaning given in RCW 82.04.030 and includes state universities as defined in RCW 28B.10.016. </w:t>
      </w:r>
      <w:r>
        <w:rPr>
          <w:u w:val="single"/>
        </w:rPr>
        <w:t xml:space="preserve">Person also includes any affiliate of a person. For purposes of this subsection (13), (a) "affiliate" means a person who controls, is controlled by, or is under common control with another person, and (b) "control" means the possession, directly or indirectly, of more than twenty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t>((</w:t>
      </w:r>
      <w:r>
        <w:rPr>
          <w:strike/>
        </w:rPr>
        <w:t xml:space="preserve">(13)</w:t>
      </w:r>
      <w:r>
        <w:t>))</w:t>
      </w:r>
      <w:r>
        <w:rPr>
          <w:u w:val="single"/>
        </w:rPr>
        <w:t xml:space="preserve">(14)</w:t>
      </w:r>
      <w:r>
        <w:rPr/>
        <w:t xml:space="preserve">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spacing w:before="0" w:after="0" w:line="408" w:lineRule="exact"/>
        <w:ind w:left="0" w:right="0" w:firstLine="576"/>
        <w:jc w:val="left"/>
      </w:pPr>
      <w:r>
        <w:t>((</w:t>
      </w:r>
      <w:r>
        <w:rPr>
          <w:strike/>
        </w:rPr>
        <w:t xml:space="preserve">(14)</w:t>
      </w:r>
      <w:r>
        <w:t>))</w:t>
      </w:r>
      <w:r>
        <w:rPr>
          <w:u w:val="single"/>
        </w:rPr>
        <w:t xml:space="preserve">(15)</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spacing w:before="0" w:after="0" w:line="408" w:lineRule="exact"/>
        <w:ind w:left="0" w:right="0" w:firstLine="576"/>
        <w:jc w:val="left"/>
      </w:pPr>
      <w:r>
        <w:t>((</w:t>
      </w:r>
      <w:r>
        <w:rPr>
          <w:strike/>
        </w:rPr>
        <w:t xml:space="preserve">(15)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r>
        <w:t>))</w:t>
      </w:r>
    </w:p>
    <w:p>
      <w:pPr>
        <w:spacing w:before="0" w:after="0" w:line="408" w:lineRule="exact"/>
        <w:ind w:left="0" w:right="0" w:firstLine="576"/>
        <w:jc w:val="left"/>
      </w:pPr>
      <w:r>
        <w:rPr/>
        <w:t xml:space="preserve">(16) "Qualified research and development" means research and development performed within this state in the fields of advanced computing, advanced materials, biotechnology, electronic device technology, and environmental technology.</w:t>
      </w:r>
    </w:p>
    <w:p>
      <w:pPr>
        <w:spacing w:before="0" w:after="0" w:line="408" w:lineRule="exact"/>
        <w:ind w:left="0" w:right="0" w:firstLine="576"/>
        <w:jc w:val="left"/>
      </w:pPr>
      <w:r>
        <w:rPr/>
        <w:t xml:space="preserve">(17) "Recipient" means a person receiving a tax deferral under this chapter.</w:t>
      </w:r>
    </w:p>
    <w:p>
      <w:pPr>
        <w:spacing w:before="0" w:after="0" w:line="408" w:lineRule="exact"/>
        <w:ind w:left="0" w:right="0" w:firstLine="576"/>
        <w:jc w:val="left"/>
      </w:pPr>
      <w:r>
        <w:rPr/>
        <w:t xml:space="preserve">(18)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spacing w:before="0" w:after="0" w:line="408" w:lineRule="exact"/>
        <w:ind w:left="0" w:right="0" w:firstLine="576"/>
        <w:jc w:val="left"/>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w:t>
      </w:r>
      <w:r>
        <w:t>((</w:t>
      </w:r>
      <w:r>
        <w:rPr>
          <w:strike/>
        </w:rPr>
        <w:t xml:space="preserve">, or acquisition of equipment or machinery for</w:t>
      </w:r>
      <w:r>
        <w:t>))</w:t>
      </w:r>
      <w:r>
        <w:rPr/>
        <w:t xml:space="preserve"> the investment project. In the case of an investment project involving multiple qualified buildings, applications must be made for, and before the initiation of construction of, each qualified building.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t>((</w:t>
      </w:r>
      <w:r>
        <w:rPr>
          <w:strike/>
        </w:rPr>
        <w:t xml:space="preserve">(2)</w:t>
      </w:r>
      <w:r>
        <w:t>))</w:t>
      </w:r>
      <w:r>
        <w:rPr>
          <w:u w:val="single"/>
        </w:rPr>
        <w:t xml:space="preserve">(b) Nothing in this subsection (1)(b) may be construed to allow a tax deferral for an investment project for which an application for deferral under this chapter was denied by the department before January 1, 2015.</w:t>
      </w:r>
    </w:p>
    <w:p>
      <w:pPr>
        <w:spacing w:before="0" w:after="0" w:line="408" w:lineRule="exact"/>
        <w:ind w:left="0" w:right="0" w:firstLine="576"/>
        <w:jc w:val="left"/>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spacing w:before="0" w:after="0" w:line="408" w:lineRule="exact"/>
        <w:ind w:left="0" w:right="0" w:firstLine="576"/>
        <w:jc w:val="left"/>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spacing w:before="0" w:after="0" w:line="408" w:lineRule="exact"/>
        <w:ind w:left="0" w:right="0" w:firstLine="576"/>
        <w:jc w:val="left"/>
      </w:pPr>
      <w:r>
        <w:rPr>
          <w:u w:val="single"/>
        </w:rPr>
        <w:t xml:space="preserve">(b) Requests to amend a previously approved application for an investment project for which meaningful construction has not commenced within five years of the date of the initial application must be denied.</w:t>
      </w:r>
    </w:p>
    <w:p>
      <w:pPr>
        <w:spacing w:before="0" w:after="0" w:line="408" w:lineRule="exact"/>
        <w:ind w:left="0" w:right="0" w:firstLine="576"/>
        <w:jc w:val="left"/>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82.63.010(7), the lessee must file a complete annual survey, and the applicant is not required to file the annual survey.</w:t>
      </w:r>
    </w:p>
    <w:p>
      <w:pPr>
        <w:spacing w:before="0" w:after="0" w:line="408" w:lineRule="exact"/>
        <w:ind w:left="0" w:right="0" w:firstLine="576"/>
        <w:jc w:val="left"/>
      </w:pPr>
      <w:r>
        <w:t>((</w:t>
      </w:r>
      <w:r>
        <w:rPr>
          <w:strike/>
        </w:rPr>
        <w:t xml:space="preserve">(3)</w:t>
      </w:r>
      <w:r>
        <w:t>))</w:t>
      </w:r>
      <w:r>
        <w:rPr>
          <w:u w:val="single"/>
        </w:rPr>
        <w:t xml:space="preserve">(5)</w:t>
      </w:r>
      <w:r>
        <w:rPr/>
        <w:t xml:space="preserve">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spacing w:before="0" w:after="0" w:line="408" w:lineRule="exact"/>
        <w:ind w:left="0" w:right="0" w:firstLine="576"/>
        <w:jc w:val="left"/>
      </w:pPr>
      <w:r>
        <w:t>((</w:t>
      </w:r>
      <w:r>
        <w:rPr>
          <w:strike/>
        </w:rPr>
        <w:t xml:space="preserve">(4)</w:t>
      </w:r>
      <w:r>
        <w:t>))</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spacing w:before="0" w:after="0" w:line="408" w:lineRule="exact"/>
        <w:ind w:left="0" w:right="0" w:firstLine="576"/>
        <w:jc w:val="left"/>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spacing w:before="0" w:after="0" w:line="408" w:lineRule="exact"/>
        <w:ind w:left="0" w:right="0" w:firstLine="576"/>
        <w:jc w:val="left"/>
      </w:pPr>
      <w:r>
        <w:rPr/>
        <w:t xml:space="preserve">(3)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spacing w:before="0" w:after="0" w:line="408" w:lineRule="exact"/>
        <w:ind w:left="0" w:right="0" w:firstLine="576"/>
        <w:jc w:val="left"/>
      </w:pPr>
      <w:r>
        <w:rPr/>
        <w:t xml:space="preserve">(1) Except as provided in subsection (2) of this section and RCW 82.32.585, taxes deferred under this chapter need not be repaid.</w:t>
      </w:r>
    </w:p>
    <w:p>
      <w:pPr>
        <w:spacing w:before="0" w:after="0" w:line="408" w:lineRule="exact"/>
        <w:ind w:left="0" w:right="0" w:firstLine="576"/>
        <w:jc w:val="left"/>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Pr>
          <w:p>
            <w:pPr>
              <w:spacing w:before="0" w:after="0" w:line="408" w:lineRule="exact"/>
              <w:ind w:left="0" w:right="0" w:firstLine="0"/>
              <w:jc w:val="center"/>
            </w:pPr>
            <w:r>
              <w:rPr>
                <w:rFonts w:ascii="Times New Roman" w:hAnsi="Times New Roman"/>
                <w:sz w:val="20"/>
              </w:rPr>
              <w:t xml:space="preserve">% of deferred taxes due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w:t>
            </w:r>
          </w:p>
        </w:tc>
        <w:tc>
          <w:tcPr>
            <w:tcW w:w="2430" w:type="dxa"/>
            <w:vAlign w:val="top"/>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2</w:t>
            </w:r>
          </w:p>
        </w:tc>
        <w:tc>
          <w:tcPr>
            <w:tcW w:w="2430" w:type="dxa"/>
            <w:vAlign w:val="top"/>
          </w:tcPr>
          <w:p>
            <w:pPr>
              <w:spacing w:before="0" w:after="0" w:line="408" w:lineRule="exact"/>
              <w:ind w:left="0" w:right="0" w:firstLine="0"/>
              <w:jc w:val="center"/>
            </w:pPr>
            <w:r>
              <w:rPr>
                <w:rFonts w:ascii="Times New Roman" w:hAnsi="Times New Roman"/>
                <w:sz w:val="20"/>
              </w:rPr>
              <w:t xml:space="preserve">87.5%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3</w:t>
            </w:r>
          </w:p>
        </w:tc>
        <w:tc>
          <w:tcPr>
            <w:tcW w:w="2430" w:type="dxa"/>
            <w:vAlign w:val="top"/>
          </w:tcPr>
          <w:p>
            <w:pPr>
              <w:spacing w:before="0" w:after="0" w:line="408" w:lineRule="exact"/>
              <w:ind w:left="0" w:right="0" w:firstLine="0"/>
              <w:jc w:val="center"/>
            </w:pPr>
            <w:r>
              <w:rPr>
                <w:rFonts w:ascii="Times New Roman" w:hAnsi="Times New Roman"/>
                <w:sz w:val="20"/>
              </w:rPr>
              <w:t xml:space="preserve">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w:t>
            </w:r>
          </w:p>
        </w:tc>
        <w:tc>
          <w:tcPr>
            <w:tcW w:w="2430" w:type="dxa"/>
            <w:vAlign w:val="top"/>
          </w:tcPr>
          <w:p>
            <w:pPr>
              <w:spacing w:before="0" w:after="0" w:line="408" w:lineRule="exact"/>
              <w:ind w:left="0" w:right="0" w:firstLine="0"/>
              <w:jc w:val="center"/>
            </w:pPr>
            <w:r>
              <w:rPr>
                <w:rFonts w:ascii="Times New Roman" w:hAnsi="Times New Roman"/>
                <w:sz w:val="20"/>
              </w:rPr>
              <w:t xml:space="preserve">62.5%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5</w:t>
            </w:r>
          </w:p>
        </w:tc>
        <w:tc>
          <w:tcPr>
            <w:tcW w:w="2430" w:type="dxa"/>
            <w:vAlign w:val="top"/>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w:t>
            </w:r>
          </w:p>
        </w:tc>
        <w:tc>
          <w:tcPr>
            <w:tcW w:w="2430" w:type="dxa"/>
            <w:vAlign w:val="top"/>
          </w:tcPr>
          <w:p>
            <w:pPr>
              <w:spacing w:before="0" w:after="0" w:line="408" w:lineRule="exact"/>
              <w:ind w:left="0" w:right="0" w:firstLine="0"/>
              <w:jc w:val="center"/>
            </w:pPr>
            <w:r>
              <w:rPr>
                <w:rFonts w:ascii="Times New Roman" w:hAnsi="Times New Roman"/>
                <w:sz w:val="20"/>
              </w:rPr>
              <w:t xml:space="preserve">37.5%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7</w:t>
            </w:r>
          </w:p>
        </w:tc>
        <w:tc>
          <w:tcPr>
            <w:tcW w:w="2430" w:type="dxa"/>
            <w:vAlign w:val="top"/>
          </w:tcPr>
          <w:p>
            <w:pPr>
              <w:spacing w:before="0" w:after="0" w:line="408" w:lineRule="exact"/>
              <w:ind w:left="0" w:right="0" w:firstLine="0"/>
              <w:jc w:val="center"/>
            </w:pPr>
            <w:r>
              <w:rPr>
                <w:rFonts w:ascii="Times New Roman" w:hAnsi="Times New Roman"/>
                <w:sz w:val="20"/>
              </w:rPr>
              <w:t xml:space="preserve">25%</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w:t>
            </w:r>
          </w:p>
        </w:tc>
        <w:tc>
          <w:tcPr>
            <w:tcW w:w="2430" w:type="dxa"/>
            <w:vAlign w:val="top"/>
          </w:tcPr>
          <w:p>
            <w:pPr>
              <w:spacing w:before="0" w:after="0" w:line="408" w:lineRule="exact"/>
              <w:ind w:left="0" w:right="0" w:firstLine="0"/>
              <w:jc w:val="center"/>
            </w:pPr>
            <w:r>
              <w:rPr>
                <w:rFonts w:ascii="Times New Roman" w:hAnsi="Times New Roman"/>
                <w:sz w:val="20"/>
              </w:rPr>
              <w:t xml:space="preserve">12.5%</w:t>
            </w:r>
          </w:p>
        </w:tc>
      </w:tr>
    </w:tbl>
    <w:p>
      <w:pPr>
        <w:spacing w:before="120" w:after="0" w:line="408" w:lineRule="exact"/>
        <w:ind w:left="0" w:right="0" w:firstLine="576"/>
        <w:jc w:val="left"/>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spacing w:before="0" w:after="0" w:line="408" w:lineRule="exact"/>
        <w:ind w:left="0" w:right="0" w:firstLine="576"/>
        <w:jc w:val="left"/>
      </w:pPr>
      <w:r>
        <w:rPr>
          <w:u w:val="single"/>
        </w:rPr>
        <w:t xml:space="preserve">(c)</w:t>
      </w:r>
      <w:r>
        <w:rPr/>
        <w:t xml:space="preserve"> If the economic benefits of the deferral are passed to a lessee as provided in RCW 82.63.010(7), the lessee is responsible for payment to the extent the lessee has received the economic benefit.</w:t>
      </w:r>
    </w:p>
    <w:p>
      <w:pPr>
        <w:spacing w:before="0" w:after="0" w:line="408" w:lineRule="exact"/>
        <w:ind w:left="0" w:right="0" w:firstLine="576"/>
        <w:jc w:val="left"/>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spacing w:before="0" w:after="0" w:line="408" w:lineRule="exact"/>
        <w:ind w:left="0" w:right="0" w:firstLine="576"/>
        <w:jc w:val="left"/>
      </w:pPr>
      <w:r>
        <w:rPr/>
        <w:t xml:space="preserve">(b) This subsection does not relieve the lessors of its obligation to the lessee under RCW 82.63.010(7) to pass the economic benefit of the deferral to the lessee.</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spacing w:before="0" w:after="0" w:line="408" w:lineRule="exact"/>
        <w:ind w:left="0" w:right="0" w:firstLine="576"/>
        <w:jc w:val="left"/>
      </w:pPr>
      <w:r>
        <w:rPr/>
        <w:t xml:space="preserve">(5) Notwithstanding subsection (2) of this section or RCW 82.32.585, deferred taxes </w:t>
      </w:r>
      <w:r>
        <w:rPr>
          <w:u w:val="single"/>
        </w:rPr>
        <w:t xml:space="preserve">under a deferral certificate issued before January 1, 2015,</w:t>
      </w:r>
      <w:r>
        <w:rPr/>
        <w:t xml:space="preserve"> on the following need not be repaid:</w:t>
      </w:r>
    </w:p>
    <w:p>
      <w:pPr>
        <w:spacing w:before="0" w:after="0" w:line="408" w:lineRule="exact"/>
        <w:ind w:left="0" w:right="0" w:firstLine="576"/>
        <w:jc w:val="left"/>
      </w:pPr>
      <w:r>
        <w:rPr/>
        <w:t xml:space="preserve">(a) Machinery and equipment, and sales of or charges made for labor and services, which at the time of purchase would have qualified for exemption under RCW 82.08.02565; and</w:t>
      </w:r>
    </w:p>
    <w:p>
      <w:pPr>
        <w:spacing w:before="0" w:after="0" w:line="408" w:lineRule="exact"/>
        <w:ind w:left="0" w:right="0" w:firstLine="576"/>
        <w:jc w:val="left"/>
      </w:pPr>
      <w:r>
        <w:rPr/>
        <w:t xml:space="preserve">(b) Machinery and equipment which at the time of first use would have qualified for exemption under RCW 82.12.02565.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6df67f72a2941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6f1b0d61bc4f2a" /><Relationship Type="http://schemas.openxmlformats.org/officeDocument/2006/relationships/footer" Target="/word/footer.xml" Id="R16df67f72a294105" /></Relationships>
</file>