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6cd9aa01304ec3" /></Relationships>
</file>

<file path=word/document.xml><?xml version="1.0" encoding="utf-8"?>
<w:document xmlns:w="http://schemas.openxmlformats.org/wordprocessingml/2006/main">
  <w:body>
    <w:p>
      <w:r>
        <w:t>H-1940.2</w:t>
      </w:r>
    </w:p>
    <w:p>
      <w:pPr>
        <w:jc w:val="center"/>
      </w:pPr>
      <w:r>
        <w:t>_______________________________________________</w:t>
      </w:r>
    </w:p>
    <w:p/>
    <w:p>
      <w:pPr>
        <w:jc w:val="center"/>
      </w:pPr>
      <w:r>
        <w:rPr>
          <w:b/>
        </w:rPr>
        <w:t>SUBSTITUTE HOUSE BILL 1763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Van De Wege, Lytton, Riccelli, and Tharinger)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music licensing agencies; amending RCW 18.235.020; adding a new chapter to Title 19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"Music licensing agency" means any individual, partnership, association, limited liability company, limited liability partnership, trust, corporation, and any other legal entity of two or more copyright owners or proprietors, which has or claims the exclusive or nonexclusive authority to issue, grant, or to contract for performing rights licenses for two or more copyright owners.</w:t>
      </w:r>
    </w:p>
    <w:p>
      <w:pPr>
        <w:spacing w:before="0" w:after="0" w:line="408" w:lineRule="exact"/>
        <w:ind w:left="0" w:right="0" w:firstLine="576"/>
        <w:jc w:val="left"/>
      </w:pPr>
      <w:r>
        <w:rPr/>
        <w:t xml:space="preserve">(3) "User" means any person who, directly or indirectly, performs or causes to be performed, musical composition for profit.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music licensing agency that licenses the performing rights to music may not license or attempt to license the use of or collect or attempt to collect any compensation on account of any sale, license, or other disposition regarding the performance rights of music unless the music licensing agency:</w:t>
      </w:r>
    </w:p>
    <w:p>
      <w:pPr>
        <w:spacing w:before="0" w:after="0" w:line="408" w:lineRule="exact"/>
        <w:ind w:left="0" w:right="0" w:firstLine="576"/>
        <w:jc w:val="left"/>
      </w:pPr>
      <w:r>
        <w:rPr/>
        <w:t xml:space="preserve">(1) Files annually with the secretary of state in duplicate a certified copy of each performing rights contract or license agreement made available from the music licensing agency or copyright owner to any user within the state;</w:t>
      </w:r>
    </w:p>
    <w:p>
      <w:pPr>
        <w:spacing w:before="0" w:after="0" w:line="408" w:lineRule="exact"/>
        <w:ind w:left="0" w:right="0" w:firstLine="576"/>
        <w:jc w:val="left"/>
      </w:pPr>
      <w:r>
        <w:rPr/>
        <w:t xml:space="preserve">(2) Completes an initial or renewal application for a music licensing agency license on a form for this purpose, furnished by the department;</w:t>
      </w:r>
    </w:p>
    <w:p>
      <w:pPr>
        <w:spacing w:before="0" w:after="0" w:line="408" w:lineRule="exact"/>
        <w:ind w:left="0" w:right="0" w:firstLine="576"/>
        <w:jc w:val="left"/>
      </w:pPr>
      <w:r>
        <w:rPr/>
        <w:t xml:space="preserve">(3) Pays the initial or renewal licensing fees as established by the department; and</w:t>
      </w:r>
    </w:p>
    <w:p>
      <w:pPr>
        <w:spacing w:before="0" w:after="0" w:line="408" w:lineRule="exact"/>
        <w:ind w:left="0" w:right="0" w:firstLine="576"/>
        <w:jc w:val="left"/>
      </w:pPr>
      <w:r>
        <w:rPr/>
        <w:t xml:space="preserve">(4) Has a valid Washington unified business identifier number.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music licensing agency must make available electronically to business proprietors the most current available list of members and affiliates represented by the music licensing agency and the most current available list of the performed works that the agency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Separate from any fines imposed under chapter 18.235 RCW, a music licensing agency is subject to a civil penalty of not more than one thousand dollars for each separate violation of this chapter. Multiple violations on a single day may be considered separate violations. The penalty may be imposed by the department or in any court of competent jurisdiction and may be imposed separately and in addition to any private party claims for violations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A person employed by or working as a contractor or agent for a music licensing agency may not enter onto the premises of a proprietor's business for the purpose of seeking or establishing a basis for seeking payment or a contract for payment of royalties for the use of copyrighted works by that proprietor without first identifying himself or herself to the proprietor or the proprietor's employees and disclosing that the person is acting on behalf of a music licensing agency and disclosing the purposes for being on the premises.</w:t>
      </w:r>
    </w:p>
    <w:p>
      <w:pPr>
        <w:spacing w:before="0" w:after="0" w:line="408" w:lineRule="exact"/>
        <w:ind w:left="0" w:right="0" w:firstLine="576"/>
        <w:jc w:val="left"/>
      </w:pPr>
      <w:r>
        <w:rPr/>
        <w:t xml:space="preserve">(2) A person employed by or working as a contractor or agent for a music licensing agency must provide at least twenty-four hours' notice before entering the premises of a proprietor's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section 5 of this act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collaboration with the office of the attorney general, the department shall conduct a consumer alert campaign to inform business proprietors of their rights and responsibilities regarding the public performance of copyrighted music. The consumer alert campaign must be paid for with fees collected pursuant to section 2 of this act and penalties imposed pursuant to sections 4 and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regulation of business and professions act, chapter 18.235 RCW, governs unlicensed practice, the issuance and denial of licenses, and the discipline of licensees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of licensing is hereby authorized to adopt reasonable rules not in conflict with provisions hereof for the proper operation and enforcement of this chapter.</w:t>
      </w:r>
    </w:p>
    <w:p>
      <w:pPr>
        <w:spacing w:before="0" w:after="0" w:line="408" w:lineRule="exact"/>
        <w:ind w:left="0" w:right="0" w:firstLine="576"/>
        <w:jc w:val="left"/>
      </w:pPr>
      <w:r>
        <w:rPr/>
        <w:t xml:space="preserve">(2) The director shall set all license and renewal fees in accordance with RCW 43.24.086.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2013 c 322 s 29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and estheticians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42.44 RCW;</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Whitewater river outfitters under chapter 79A.60 RCW;</w:t>
      </w:r>
    </w:p>
    <w:p>
      <w:pPr>
        <w:spacing w:before="0" w:after="0" w:line="408" w:lineRule="exact"/>
        <w:ind w:left="0" w:right="0" w:firstLine="576"/>
        <w:jc w:val="left"/>
      </w:pPr>
      <w:r>
        <w:rPr/>
        <w:t xml:space="preserve">(xxi) Home inspectors under chapter 18.280 RCW;</w:t>
      </w:r>
    </w:p>
    <w:p>
      <w:pPr>
        <w:spacing w:before="0" w:after="0" w:line="408" w:lineRule="exact"/>
        <w:ind w:left="0" w:right="0" w:firstLine="576"/>
        <w:jc w:val="left"/>
      </w:pPr>
      <w:r>
        <w:rPr/>
        <w:t xml:space="preserve">(xxii) Body artists, body piercers, and tattoo artists, and body art, body piercing, and tattooing shops and businesses, under chapter 18.300 RCW; </w:t>
      </w:r>
      <w:r>
        <w:t>((</w:t>
      </w:r>
      <w:r>
        <w:rPr>
          <w:strike/>
        </w:rPr>
        <w:t xml:space="preserve">and</w:t>
      </w:r>
      <w:r>
        <w:t>))</w:t>
      </w:r>
    </w:p>
    <w:p>
      <w:pPr>
        <w:spacing w:before="0" w:after="0" w:line="408" w:lineRule="exact"/>
        <w:ind w:left="0" w:right="0" w:firstLine="576"/>
        <w:jc w:val="left"/>
      </w:pPr>
      <w:r>
        <w:rPr/>
        <w:t xml:space="preserve">(xxiii) Appraisal management companies under chapter 18.310 RCW</w:t>
      </w:r>
      <w:r>
        <w:rPr>
          <w:u w:val="single"/>
        </w:rPr>
        <w:t xml:space="preserve">; and</w:t>
      </w:r>
    </w:p>
    <w:p>
      <w:pPr>
        <w:spacing w:before="0" w:after="0" w:line="408" w:lineRule="exact"/>
        <w:ind w:left="0" w:right="0" w:firstLine="576"/>
        <w:jc w:val="left"/>
      </w:pPr>
      <w:r>
        <w:rPr>
          <w:u w:val="single"/>
        </w:rPr>
        <w:t xml:space="preserve">(xxiv) Music licensing agencies under chapter 19.--- RCW (the new chapter created in section 11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12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456eee0153594e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953190909a40ec" /><Relationship Type="http://schemas.openxmlformats.org/officeDocument/2006/relationships/footer" Target="/word/footer.xml" Id="R456eee0153594e4e" /></Relationships>
</file>