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faab517be45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Schmick, Jinkins, Harris, Cody, Van De Wege, Robinson,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relationship between a health insurer and a contracting health care provider; adding a new section to chapter 48.20 RCW; adding a new section to chapter 48.21 RCW; adding a new section to chapter 48.44 RCW; adding a new section to chapter 48.46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an insurer or vision care provider for any noncovered vision materials or services. Nothing in this subsection prohibits a vision care provider from choosing to contractually opt in to a materials discount program sponsored by an insurer or vision care plan;</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insurer has a financial interest.</w:t>
      </w:r>
    </w:p>
    <w:p>
      <w:pPr>
        <w:spacing w:before="0" w:after="0" w:line="408" w:lineRule="exact"/>
        <w:ind w:left="0" w:right="0" w:firstLine="576"/>
        <w:jc w:val="left"/>
      </w:pPr>
      <w:r>
        <w:rPr/>
        <w:t xml:space="preserve">(3) An insurer must provide no less than sixty days' notice to the vision care provider of any proposed changes to a vision care provider's contract with the insurer, which the vision care provider may accept or reject at any time within the notice period. A vision care provider's rejection of the amendment does not affect the terms of the vision care provider's existing contract with the insurer. If the notice of proposed amendment is delivered in writing to the vision care provider via certified mail, the amendment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An insurer may require a vision care provider to notify the insurer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an insurer or vision care provider for any noncovered vision materials or services. Nothing in this subsection prohibits a vision care provider from choosing to contractually opt in to a materials discount program sponsored by an insurer or vision care plan;</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insurer has a financial interest.</w:t>
      </w:r>
    </w:p>
    <w:p>
      <w:pPr>
        <w:spacing w:before="0" w:after="0" w:line="408" w:lineRule="exact"/>
        <w:ind w:left="0" w:right="0" w:firstLine="576"/>
        <w:jc w:val="left"/>
      </w:pPr>
      <w:r>
        <w:rPr/>
        <w:t xml:space="preserve">(3) An insurer must provide no less than sixty days' notice to the vision care provider of any proposed changes to a vision care provider's contract with the insurer, which the vision care provider may accept or reject at any time within the notice period. A vision care provider's rejection of the amendment does not affect the terms of the vision care provider's existing contract with the insurer. If the notice of proposed amendment is delivered in writing to the vision care provider via certified mail, the amendment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An insurer may require a vision care provider to notify the insurer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care services contractor, or any contract or participating provider agreement between the health care services contractor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 health care services contractor or vision care provider for any noncovered vision materials or services. Nothing in this subsection prohibits a vision care provider from choosing to contractually opt in to a materials discount program sponsored by a health care services contractor or vision care plan;</w:t>
      </w:r>
    </w:p>
    <w:p>
      <w:pPr>
        <w:spacing w:before="0" w:after="0" w:line="408" w:lineRule="exact"/>
        <w:ind w:left="0" w:right="0" w:firstLine="576"/>
        <w:jc w:val="left"/>
      </w:pPr>
      <w:r>
        <w:rPr/>
        <w:t xml:space="preserve">(b) Require a vision care provider to participate with, or be credentialed by, another health care services contractor, health carrier, or health benefit plan as a condition to join one of the health care services contractor's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health care services contractor has a financial interest.</w:t>
      </w:r>
    </w:p>
    <w:p>
      <w:pPr>
        <w:spacing w:before="0" w:after="0" w:line="408" w:lineRule="exact"/>
        <w:ind w:left="0" w:right="0" w:firstLine="576"/>
        <w:jc w:val="left"/>
      </w:pPr>
      <w:r>
        <w:rPr/>
        <w:t xml:space="preserve">(3) A health care services contractor must provide no less than sixty days' notice to the vision care provider of any proposed changes to a vision care provider's contract with the health care services contractor, which the vision care provider may accept or reject at any time within the notice period. A vision care provider's rejection of the amendment does not affect the terms of the vision care provider's existing contract with the health care services contractor. If the notice of proposed amendment is delivered in writing to the vision care provider via certified mail, the amendment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 health care services contractor may require a vision care provider to notify the health care services contractor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maintenance organization, or any contract or participating provider agreement between the health maintenance organization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 health maintenance organization or vision care provider for any noncovered vision materials or services. Nothing in this subsection prohibits a vision care provider from choosing to contractually opt in to a materials discount program sponsored by a health maintenance organization or vision care plan;</w:t>
      </w:r>
    </w:p>
    <w:p>
      <w:pPr>
        <w:spacing w:before="0" w:after="0" w:line="408" w:lineRule="exact"/>
        <w:ind w:left="0" w:right="0" w:firstLine="576"/>
        <w:jc w:val="left"/>
      </w:pPr>
      <w:r>
        <w:rPr/>
        <w:t xml:space="preserve">(b) Require a vision care provider to participate with, or be credentialed by, another health maintenance organization, health carrier, or health benefit plan as a condition to join one of the health maintenance organization's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health maintenance organization has a financial interest.</w:t>
      </w:r>
    </w:p>
    <w:p>
      <w:pPr>
        <w:spacing w:before="0" w:after="0" w:line="408" w:lineRule="exact"/>
        <w:ind w:left="0" w:right="0" w:firstLine="576"/>
        <w:jc w:val="left"/>
      </w:pPr>
      <w:r>
        <w:rPr/>
        <w:t xml:space="preserve">(3) A health maintenance organization must provide no less than sixty days' notice to the vision care provider of any proposed changes to a vision care provider's contract with the health maintenance organization, which the vision care provider may accept or reject at any time within the notice period. A vision care provider's rejection of the changes does not affect the terms of the vision care provider's existing contract with the health maintenance organization. If the notice of proposed changes is delivered in writing to the vision care provider via certified mail, the changes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 health maintenance organization may require a vision care provider to notify the health maintenance organization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This section does not apply to vision materials or vision services provided directly by a health maintenance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fb4f6170fdf846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27b0630f2b4d89" /><Relationship Type="http://schemas.openxmlformats.org/officeDocument/2006/relationships/footer" Target="/word/footer.xml" Id="Rfb4f6170fdf8461b" /></Relationships>
</file>