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97bc87eea49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Stanford, Vick, Kirby, Parker, Ryu, G. Hunt, Blake, Santos, and Hurst)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w:t>
      </w:r>
      <w:r>
        <w:t>((</w:t>
      </w:r>
      <w:r>
        <w:rPr>
          <w:strike/>
        </w:rPr>
        <w:t xml:space="preserve">; or</w:t>
      </w:r>
      <w:r>
        <w:t>))</w:t>
      </w:r>
      <w:r>
        <w:rPr>
          <w:u w:val="single"/>
        </w:rPr>
        <w:t xml:space="preserve">.</w:t>
      </w:r>
    </w:p>
    <w:p>
      <w:pPr>
        <w:spacing w:before="0" w:after="0" w:line="408" w:lineRule="exact"/>
        <w:ind w:left="0" w:right="0" w:firstLine="576"/>
        <w:jc w:val="left"/>
      </w:pPr>
      <w:r>
        <w:t>((</w:t>
      </w:r>
      <w:r>
        <w:rPr>
          <w:strike/>
        </w:rPr>
        <w:t xml:space="preserve">(c) Any</w:t>
      </w:r>
      <w:r>
        <w:t>))</w:t>
      </w:r>
      <w:r>
        <w:rPr/>
        <w:t xml:space="preserve"> </w:t>
      </w:r>
      <w:r>
        <w:rPr>
          <w:u w:val="single"/>
        </w:rPr>
        <w:t xml:space="preserve">(2) Insurers, except title insurers and title insurance agents, and insurance producers may offer</w:t>
      </w:r>
      <w:r>
        <w:rPr/>
        <w:t xml:space="preserve"> prizes, goods, wares, </w:t>
      </w:r>
      <w:r>
        <w:rPr>
          <w:u w:val="single"/>
        </w:rPr>
        <w:t xml:space="preserve">gift cards, gift certificates,</w:t>
      </w:r>
      <w:r>
        <w:rPr/>
        <w:t xml:space="preserve"> or merchandise </w:t>
      </w:r>
      <w:r>
        <w:t>((</w:t>
      </w:r>
      <w:r>
        <w:rPr>
          <w:strike/>
        </w:rPr>
        <w:t xml:space="preserve">of</w:t>
      </w:r>
      <w:r>
        <w:t>))</w:t>
      </w:r>
      <w:r>
        <w:rPr/>
        <w:t xml:space="preserve"> </w:t>
      </w:r>
      <w:r>
        <w:rPr>
          <w:u w:val="single"/>
        </w:rPr>
        <w:t xml:space="preserve">that does not exceed</w:t>
      </w:r>
      <w:r>
        <w:rPr/>
        <w:t xml:space="preserve"> an aggregate value </w:t>
      </w:r>
      <w:r>
        <w:t>((</w:t>
      </w:r>
      <w:r>
        <w:rPr>
          <w:strike/>
        </w:rPr>
        <w:t xml:space="preserve">in excess</w:t>
      </w:r>
      <w:r>
        <w:t>))</w:t>
      </w:r>
      <w:r>
        <w:rPr/>
        <w:t xml:space="preserve">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any consecutive twelve-month period</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applying for or obtaining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The provisions of RCW 48.30.140 and 48.30.150 do not apply to prizes, goods, wares, gift cards, gift certificates, or merchandise given to a person in compliance with subsections (1) and (2) of this section.</w:t>
      </w:r>
    </w:p>
    <w:p>
      <w:pPr>
        <w:spacing w:before="0" w:after="0" w:line="408" w:lineRule="exact"/>
        <w:ind w:left="0" w:right="0" w:firstLine="576"/>
        <w:jc w:val="left"/>
      </w:pPr>
      <w:r>
        <w:rPr/>
        <w:t xml:space="preserve">(4) Notwithstanding subsections (1) and (2) of this section, an insurance producer may pay to an unlicensed individual who is neither an insured nor a prospective insured a referral fee conditioned on the submission of an application if made in compliance with the provisions of RCW 48.17.490(4).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24.03 RCW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
      <w:pPr>
        <w:jc w:val="center"/>
      </w:pPr>
      <w:r>
        <w:rPr>
          <w:b/>
        </w:rPr>
        <w:t>--- END ---</w:t>
      </w:r>
    </w:p>
    <w:sectPr>
      <w:pgNumType w:start="1"/>
      <w:footerReference xmlns:r="http://schemas.openxmlformats.org/officeDocument/2006/relationships" r:id="R47828d6251fa40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92b3c1ef63404e" /><Relationship Type="http://schemas.openxmlformats.org/officeDocument/2006/relationships/footer" Target="/word/footer.xml" Id="R47828d6251fa40d4" /></Relationships>
</file>