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3802f8be441f7" /></Relationships>
</file>

<file path=word/document.xml><?xml version="1.0" encoding="utf-8"?>
<w:document xmlns:w="http://schemas.openxmlformats.org/wordprocessingml/2006/main">
  <w:body>
    <w:p>
      <w:r>
        <w:t>H-0713.3</w:t>
      </w:r>
    </w:p>
    <w:p>
      <w:pPr>
        <w:jc w:val="center"/>
      </w:pPr>
      <w:r>
        <w:t>_______________________________________________</w:t>
      </w:r>
    </w:p>
    <w:p/>
    <w:p>
      <w:pPr>
        <w:jc w:val="center"/>
      </w:pPr>
      <w:r>
        <w:rPr>
          <w:b/>
        </w:rPr>
        <w:t>HOUSE BILL 1749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Manweller, and Condotta</w:t>
      </w:r>
    </w:p>
    <w:p/>
    <w:p>
      <w:r>
        <w:rPr>
          <w:t xml:space="preserve">Read first time 01/28/15.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registration requirements for owners of property; and amending RCW 18.27.010.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2007 c 436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w:t>
      </w:r>
      <w:r>
        <w:t>((</w:t>
      </w:r>
      <w:r>
        <w:rPr>
          <w:strike/>
        </w:rPr>
        <w:t xml:space="preserve">; or, who, to do similar work upon his or her own property, employs members of more than one trade upon a single job or project or under a single building permit except as otherwise provided in this chapter</w:t>
      </w:r>
      <w:r>
        <w:t>))</w:t>
      </w:r>
      <w:r>
        <w:rPr/>
        <w:t xml:space="preserve">.</w:t>
      </w:r>
    </w:p>
    <w:p>
      <w:pPr>
        <w:spacing w:before="0" w:after="0" w:line="408" w:lineRule="exact"/>
        <w:ind w:left="0" w:right="0" w:firstLine="576"/>
        <w:jc w:val="left"/>
      </w:pPr>
      <w:r>
        <w:rPr>
          <w:u w:val="single"/>
        </w:rPr>
        <w:t xml:space="preserve">(b)</w:t>
      </w:r>
      <w:r>
        <w:rPr/>
        <w:t xml:space="preserve"> "Contractor" also includes a consultant acting as a general contractor.</w:t>
      </w:r>
    </w:p>
    <w:p>
      <w:pPr>
        <w:spacing w:before="0" w:after="0" w:line="408" w:lineRule="exact"/>
        <w:ind w:left="0" w:right="0" w:firstLine="576"/>
        <w:jc w:val="left"/>
      </w:pPr>
      <w:r>
        <w:rPr>
          <w:u w:val="single"/>
        </w:rPr>
        <w:t xml:space="preserve">(c)</w:t>
      </w:r>
      <w:r>
        <w:rPr/>
        <w:t xml:space="preserve"> "Contractor" also includes any person, firm, corporation, or other entity covered by this subsection </w:t>
      </w:r>
      <w:r>
        <w:rPr>
          <w:u w:val="single"/>
        </w:rPr>
        <w:t xml:space="preserve">(1)</w:t>
      </w:r>
      <w:r>
        <w:rPr/>
        <w:t xml:space="preserve">,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w:t>
      </w:r>
      <w:r>
        <w:rPr>
          <w:u w:val="single"/>
        </w:rPr>
        <w:t xml:space="preserve">A person, firm, corporation, or other entity is not a contractor under this subsection (1)(c) if the person, firm, corporation, or other entity: (i) Contracts with a registered general contractor and does not superintend the work; or (ii) undertakes only the installation of carpeting or other floor covering, or painting, or both.</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thirty or fewer days.</w:t>
      </w:r>
    </w:p>
    <w:p>
      <w:pPr>
        <w:spacing w:before="0" w:after="0" w:line="408" w:lineRule="exact"/>
        <w:ind w:left="0" w:right="0" w:firstLine="576"/>
        <w:jc w:val="left"/>
      </w:pPr>
      <w:r>
        <w:rPr/>
        <w:t xml:space="preserve">(15)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rPr/>
        <w:t xml:space="preserve">(16) "Verification" means the receipt and duplication by the city, town, or county of a contractor registration card that is current on its face, checking the department's contractor registration database, or calling the department to confirm that the contractor is registered.</w:t>
      </w:r>
    </w:p>
    <w:p/>
    <w:p>
      <w:pPr>
        <w:jc w:val="center"/>
      </w:pPr>
      <w:r>
        <w:rPr>
          <w:b/>
        </w:rPr>
        <w:t>--- END ---</w:t>
      </w:r>
    </w:p>
    <w:sectPr>
      <w:pgNumType w:start="1"/>
      <w:footerReference xmlns:r="http://schemas.openxmlformats.org/officeDocument/2006/relationships" r:id="R5c767306eb814a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5caf63aee4e0b" /><Relationship Type="http://schemas.openxmlformats.org/officeDocument/2006/relationships/footer" Target="/word/footer.xml" Id="R5c767306eb814ac9" /></Relationships>
</file>