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c368c5d0f4095" /></Relationships>
</file>

<file path=word/document.xml><?xml version="1.0" encoding="utf-8"?>
<w:document xmlns:w="http://schemas.openxmlformats.org/wordprocessingml/2006/main">
  <w:body>
    <w:p>
      <w:r>
        <w:t>H-1787.1</w:t>
      </w:r>
    </w:p>
    <w:p>
      <w:pPr>
        <w:jc w:val="center"/>
      </w:pPr>
      <w:r>
        <w:t>_______________________________________________</w:t>
      </w:r>
    </w:p>
    <w:p/>
    <w:p>
      <w:pPr>
        <w:jc w:val="center"/>
      </w:pPr>
      <w:r>
        <w:rPr>
          <w:b/>
        </w:rPr>
        <w:t>SUBSTITUTE HOUSE BILL 1744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 Appleton; by request of Department of Corrections)</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inmate funds subject to deductions; and amending RCW 72.09.480.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2011 c 282 s 3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and (8)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(8)</w:t>
      </w:r>
      <w:r>
        <w:t>))</w:t>
      </w:r>
      <w:r>
        <w:rPr/>
        <w:t xml:space="preserve"> </w:t>
      </w:r>
      <w:r>
        <w:rPr>
          <w:u w:val="single"/>
        </w:rPr>
        <w:t xml:space="preserve">(9)</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w:t>
      </w:r>
      <w:r>
        <w:t>((</w:t>
      </w:r>
      <w:r>
        <w:rPr>
          <w:strike/>
        </w:rPr>
        <w:t xml:space="preserve">When an</w:t>
      </w:r>
      <w:r>
        <w:t>))</w:t>
      </w:r>
      <w:r>
        <w:rPr/>
        <w:t xml:space="preserve"> </w:t>
      </w:r>
      <w:r>
        <w:rPr>
          <w:u w:val="single"/>
        </w:rPr>
        <w:t xml:space="preserve">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u w:val="single"/>
        </w:rPr>
        <w:t xml:space="preserve">(9) I</w:t>
      </w:r>
      <w:r>
        <w:rPr/>
        <w:t xml:space="preserve">nmate</w:t>
      </w:r>
      <w:r>
        <w:rPr>
          <w:u w:val="single"/>
        </w:rPr>
        <w:t xml:space="preserve">s</w:t>
      </w:r>
      <w:r>
        <w:rPr/>
        <w:t xml:space="preserve">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NumType w:start="1"/>
      <w:footerReference xmlns:r="http://schemas.openxmlformats.org/officeDocument/2006/relationships" r:id="Reeaab4b4759d47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55400d68e94124" /><Relationship Type="http://schemas.openxmlformats.org/officeDocument/2006/relationships/footer" Target="/word/footer.xml" Id="Reeaab4b4759d478f" /></Relationships>
</file>