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61df976b7f4c34" /></Relationships>
</file>

<file path=word/document.xml><?xml version="1.0" encoding="utf-8"?>
<w:document xmlns:w="http://schemas.openxmlformats.org/wordprocessingml/2006/main">
  <w:body>
    <w:p>
      <w:r>
        <w:t>H-0004.1</w:t>
      </w:r>
    </w:p>
    <w:p>
      <w:pPr>
        <w:jc w:val="center"/>
      </w:pPr>
      <w:r>
        <w:t>_______________________________________________</w:t>
      </w:r>
    </w:p>
    <w:p/>
    <w:p>
      <w:pPr>
        <w:jc w:val="center"/>
      </w:pPr>
      <w:r>
        <w:rPr>
          <w:b/>
        </w:rPr>
        <w:t>HOUSE BILL 1741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and Condotta</w:t>
      </w:r>
    </w:p>
    <w:p/>
    <w:p>
      <w:r>
        <w:rPr>
          <w:t xml:space="preserve">Read first time 01/27/15.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disabled persons to access public recreational sites or lands without a discover pass, vehicle access pass, or day-use permit; and amending RCW 79A.80.080.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 vehicle access pass,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 the vehicle access pass, or the day-use permit is not required:</w:t>
      </w:r>
    </w:p>
    <w:p>
      <w:pPr>
        <w:spacing w:before="0" w:after="0" w:line="408" w:lineRule="exact"/>
        <w:ind w:left="0" w:right="0" w:firstLine="576"/>
        <w:jc w:val="left"/>
      </w:pPr>
      <w:r>
        <w:rPr/>
        <w:t xml:space="preserve">(a) On private lands, state-owned aquatic lands other than water access areas, or at agency offices, hatcheries, or other facilities where public business is conducted;</w:t>
      </w:r>
    </w:p>
    <w:p>
      <w:pPr>
        <w:spacing w:before="0" w:after="0" w:line="408" w:lineRule="exact"/>
        <w:ind w:left="0" w:right="0" w:firstLine="576"/>
        <w:jc w:val="left"/>
      </w:pPr>
      <w:r>
        <w:rPr/>
        <w:t xml:space="preserve">(b) For persons who use, possess, or enter lands owned or managed by the agencies for nonrecreational purposes consistent with a written authorization from the agency, including but not limited to leases, contracts, and easements;</w:t>
      </w:r>
    </w:p>
    <w:p>
      <w:pPr>
        <w:spacing w:before="0" w:after="0" w:line="408" w:lineRule="exact"/>
        <w:ind w:left="0" w:right="0" w:firstLine="576"/>
        <w:jc w:val="left"/>
      </w:pPr>
      <w:r>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t xml:space="preserve">(d) When operating on a road managed by the department of natural resources or the department of fish and wildlife, including a forest or land management road, that is not blocked by a gate</w:t>
      </w:r>
      <w:r>
        <w:rPr>
          <w:u w:val="single"/>
        </w:rPr>
        <w:t xml:space="preserve">; or</w:t>
      </w:r>
    </w:p>
    <w:p>
      <w:pPr>
        <w:spacing w:before="0" w:after="0" w:line="408" w:lineRule="exact"/>
        <w:ind w:left="0" w:right="0" w:firstLine="576"/>
        <w:jc w:val="left"/>
      </w:pPr>
      <w:r>
        <w:rPr>
          <w:u w:val="single"/>
        </w:rPr>
        <w:t xml:space="preserve">(e) For persons who display a disability pass entitling the person to free admission to any state park under RCW 79A.05.065(2)(a) or who display a card, decal, or special license plate issued for a permanent disability under RCW 46.19.010</w:t>
      </w:r>
      <w:r>
        <w:rPr/>
        <w:t xml:space="preserve">.</w:t>
      </w:r>
    </w:p>
    <w:p>
      <w:pPr>
        <w:spacing w:before="0" w:after="0" w:line="408" w:lineRule="exact"/>
        <w:ind w:left="0" w:right="0" w:firstLine="576"/>
        <w:jc w:val="left"/>
      </w:pPr>
      <w:r>
        <w:rPr/>
        <w:t xml:space="preserve">(3)(a) An agency may waive the requirements of this section for any person who has secured the ability to access specific recreational land through the provision of monetary consideration to the agency or for any person attending an event or function that required the provision of monetary compensation to the agency.</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state parks and recreation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An agency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 reduced to fifty-nine dollars if an individual provides proof of purchase of a discover pass to the court within fifteen days after the issuance of the notice of violation.</w:t>
      </w:r>
    </w:p>
    <w:p/>
    <w:p>
      <w:pPr>
        <w:jc w:val="center"/>
      </w:pPr>
      <w:r>
        <w:rPr>
          <w:b/>
        </w:rPr>
        <w:t>--- END ---</w:t>
      </w:r>
    </w:p>
    <w:sectPr>
      <w:pgNumType w:start="1"/>
      <w:footerReference xmlns:r="http://schemas.openxmlformats.org/officeDocument/2006/relationships" r:id="Ra7f3c00f59aa47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2086ec0f574782" /><Relationship Type="http://schemas.openxmlformats.org/officeDocument/2006/relationships/footer" Target="/word/footer.xml" Id="Ra7f3c00f59aa4794" /></Relationships>
</file>