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fccdfb7084d4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Appleton and Ryu)</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political subdivisions purchasing health coverage through the public employees' benefits board program; and amending RCW 41.04.205, 41.05.011, and 41.05.050.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If the authority at any time determines that the participation of a county, municipal, other political subdivision, or a tribal government covered under this chapter adversely impacts insurance rates for state employees, the authority </w:t>
      </w:r>
      <w:r>
        <w:t>((</w:t>
      </w:r>
      <w:r>
        <w:rPr>
          <w:strike/>
        </w:rPr>
        <w:t xml:space="preserve">shall implement limitations on the participation of additional</w:t>
      </w:r>
      <w:r>
        <w:t>))</w:t>
      </w:r>
      <w:r>
        <w:rPr/>
        <w:t xml:space="preserve"> </w:t>
      </w:r>
      <w:r>
        <w:rPr>
          <w:u w:val="single"/>
        </w:rPr>
        <w:t xml:space="preserve">may develop an employer-specific charge for each</w:t>
      </w:r>
      <w:r>
        <w:rPr/>
        <w:t xml:space="preserve"> county, municipal, other political subdivision</w:t>
      </w:r>
      <w:r>
        <w:t>((</w:t>
      </w:r>
      <w:r>
        <w:rPr>
          <w:strike/>
        </w:rPr>
        <w:t xml:space="preserve">s</w:t>
      </w:r>
      <w:r>
        <w:t>))</w:t>
      </w:r>
      <w:r>
        <w:rPr/>
        <w:t xml:space="preserve">, or </w:t>
      </w:r>
      <w:r>
        <w:t>((</w:t>
      </w:r>
      <w:r>
        <w:rPr>
          <w:strike/>
        </w:rPr>
        <w:t xml:space="preserve">a</w:t>
      </w:r>
      <w:r>
        <w:t>))</w:t>
      </w:r>
      <w:r>
        <w:rPr/>
        <w:t xml:space="preserve"> tribal government </w:t>
      </w:r>
      <w:r>
        <w:rPr>
          <w:u w:val="single"/>
        </w:rPr>
        <w:t xml:space="preserve">that offsets a significant increase in insurance rates for state employees that could be caused by the participation of that employer</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The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
      <w:pPr>
        <w:jc w:val="center"/>
      </w:pPr>
      <w:r>
        <w:rPr>
          <w:b/>
        </w:rPr>
        <w:t>--- END ---</w:t>
      </w:r>
    </w:p>
    <w:sectPr>
      <w:pgNumType w:start="1"/>
      <w:footerReference xmlns:r="http://schemas.openxmlformats.org/officeDocument/2006/relationships" r:id="R29cc6ff33d6c4e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0a3b82bcd4630" /><Relationship Type="http://schemas.openxmlformats.org/officeDocument/2006/relationships/footer" Target="/word/footer.xml" Id="R29cc6ff33d6c4eea" /></Relationships>
</file>