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55014adcb44377" /></Relationships>
</file>

<file path=word/document.xml><?xml version="1.0" encoding="utf-8"?>
<w:document xmlns:w="http://schemas.openxmlformats.org/wordprocessingml/2006/main">
  <w:body>
    <w:p>
      <w:r>
        <w:t>Z-0475.1</w:t>
      </w:r>
    </w:p>
    <w:p>
      <w:pPr>
        <w:jc w:val="center"/>
      </w:pPr>
      <w:r>
        <w:t>_______________________________________________</w:t>
      </w:r>
    </w:p>
    <w:p/>
    <w:p>
      <w:pPr>
        <w:jc w:val="center"/>
      </w:pPr>
      <w:r>
        <w:rPr>
          <w:b/>
        </w:rPr>
        <w:t>HOUSE BILL 1705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Haler, Reykdal, Tarleton, Zeiger, Sells, and Pollet; by request of State Board for Community and Technical Colleges</w:t>
      </w:r>
    </w:p>
    <w:p/>
    <w:p>
      <w:r>
        <w:rPr>
          <w:t xml:space="preserve">Read first time 01/27/15.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basic education for adults at community and technical colleges; amending RCW 43.88C.010; adding a new section to chapter 28B.50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an estimated six hundred fifty thousand to seven hundred thousand Washington adults lack the knowledge and skills needed to compete in today's economy and meaningfully participate in this state's democracy. The legislature further finds that by 2016, nearly three-fourths of available jobs in this state will require at least a postsecondary credential and that meeting this workforce need will require educating older adults who lack basic education skills.</w:t>
      </w:r>
    </w:p>
    <w:p>
      <w:pPr>
        <w:spacing w:before="0" w:after="0" w:line="408" w:lineRule="exact"/>
        <w:ind w:left="0" w:right="0" w:firstLine="576"/>
        <w:jc w:val="left"/>
      </w:pPr>
      <w:r>
        <w:rPr/>
        <w:t xml:space="preserve">The legislature further finds it will be necessary to educate older adults who lack basic education skills to meet the goals expressed in section 2, chapter 209, Laws of 2014: "All adults in Washington ages twenty-five to forty-four will have a high school diploma or equivalent by 2023; and at least seventy percent of Washington adults ages twenty-five to forty-four will have a postsecondary credential by 2023."</w:t>
      </w:r>
    </w:p>
    <w:p>
      <w:pPr>
        <w:spacing w:before="0" w:after="0" w:line="408" w:lineRule="exact"/>
        <w:ind w:left="0" w:right="0" w:firstLine="576"/>
        <w:jc w:val="left"/>
      </w:pPr>
      <w:r>
        <w:rPr/>
        <w:t xml:space="preserve">As provided in RCW 28B.50.020 and 28B.50.090, the community and technical colleges are responsible for providing basic skills and literacy education to adults. The colleges fulfill this responsibility by teaching reading, writing, mathematics, technology, and English language to adults who have academic skills below high school level or who need English language skills. Basic education for adults programs prepare students to earn high school diplomas or to pass high school equivalency certificates; teach employability skills, such as critical thinking, communication, problem solving, and decision making; and offer clear and direct pathways to college-level education and credentials.</w:t>
      </w:r>
    </w:p>
    <w:p>
      <w:pPr>
        <w:spacing w:before="0" w:after="0" w:line="408" w:lineRule="exact"/>
        <w:ind w:left="0" w:right="0" w:firstLine="576"/>
        <w:jc w:val="left"/>
      </w:pPr>
      <w:r>
        <w:rPr/>
        <w:t xml:space="preserve">As required by RCW 28B.50.020, the community and technical colleges offer an open door to every citizen, regardless of his or her academic background or experience, at a cost normally within his or her economic means. Acknowledging that adult students enrolled in basic education courses lack the economic means to pay regular tuition, the state board for community and technical colleges has provided a tuition waiver for these students. The absence of tuition revenue from basic skills students creates a financial challenge for the colleges as they seek to serve the diverse needs of their communities.</w:t>
      </w:r>
    </w:p>
    <w:p>
      <w:pPr>
        <w:spacing w:before="0" w:after="0" w:line="408" w:lineRule="exact"/>
        <w:ind w:left="0" w:right="0" w:firstLine="576"/>
        <w:jc w:val="left"/>
      </w:pPr>
      <w:r>
        <w:rPr/>
        <w:t xml:space="preserve">The legislature further finds that a regular, dependable source of funding to provide basic education for adults will increase access to educational pathways that will lead to postsecondary credentials, living wage jobs, and meaningful participation in this state's democracy. The legislature intends to provide a regular, dependable source of funding to provide basic education for adults by providing funding for each full-time equivalent student enrolled at a community or technical college created under chapter 28B.50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State appropriations to the college board shall include a separate appropriation to provide basic education for adults. The appropriation to provide basic education for adults shall be determined by multiplying the total full-time equivalent enrollment in basic education for adults courses by the statewide average per full-time equivalent high school student allocation under RCW 28A.150.260 multiplied by the following factors:</w:t>
      </w:r>
    </w:p>
    <w:p>
      <w:pPr>
        <w:spacing w:before="0" w:after="0" w:line="408" w:lineRule="exact"/>
        <w:ind w:left="0" w:right="0" w:firstLine="576"/>
        <w:jc w:val="left"/>
      </w:pPr>
      <w:r>
        <w:rPr/>
        <w:t xml:space="preserve">(a) For the 2015-16 academic year, the factor shall be .5;</w:t>
      </w:r>
    </w:p>
    <w:p>
      <w:pPr>
        <w:spacing w:before="0" w:after="0" w:line="408" w:lineRule="exact"/>
        <w:ind w:left="0" w:right="0" w:firstLine="576"/>
        <w:jc w:val="left"/>
      </w:pPr>
      <w:r>
        <w:rPr/>
        <w:t xml:space="preserve">(b) For the 2016-17 academic year, the factor shall be .6;</w:t>
      </w:r>
    </w:p>
    <w:p>
      <w:pPr>
        <w:spacing w:before="0" w:after="0" w:line="408" w:lineRule="exact"/>
        <w:ind w:left="0" w:right="0" w:firstLine="576"/>
        <w:jc w:val="left"/>
      </w:pPr>
      <w:r>
        <w:rPr/>
        <w:t xml:space="preserve">(c) For the 2017-18 academic year, the factor shall be .7;</w:t>
      </w:r>
    </w:p>
    <w:p>
      <w:pPr>
        <w:spacing w:before="0" w:after="0" w:line="408" w:lineRule="exact"/>
        <w:ind w:left="0" w:right="0" w:firstLine="576"/>
        <w:jc w:val="left"/>
      </w:pPr>
      <w:r>
        <w:rPr/>
        <w:t xml:space="preserve">(d) For the 2018-19 academic year, the factor shall be .8;</w:t>
      </w:r>
    </w:p>
    <w:p>
      <w:pPr>
        <w:spacing w:before="0" w:after="0" w:line="408" w:lineRule="exact"/>
        <w:ind w:left="0" w:right="0" w:firstLine="576"/>
        <w:jc w:val="left"/>
      </w:pPr>
      <w:r>
        <w:rPr/>
        <w:t xml:space="preserve">(e) For the 2019-20 academic year, the factor shall be .9; and</w:t>
      </w:r>
    </w:p>
    <w:p>
      <w:pPr>
        <w:spacing w:before="0" w:after="0" w:line="408" w:lineRule="exact"/>
        <w:ind w:left="0" w:right="0" w:firstLine="576"/>
        <w:jc w:val="left"/>
      </w:pPr>
      <w:r>
        <w:rPr/>
        <w:t xml:space="preserve">(f) For the 2020-21 academic year and thereafter, the factor shall be 1.</w:t>
      </w:r>
    </w:p>
    <w:p>
      <w:pPr>
        <w:spacing w:before="0" w:after="0" w:line="408" w:lineRule="exact"/>
        <w:ind w:left="0" w:right="0" w:firstLine="576"/>
        <w:jc w:val="left"/>
      </w:pPr>
      <w:r>
        <w:rPr/>
        <w:t xml:space="preserve">(2) The caseload forecast council shall estimate the anticipated number of full-time equivalent students who will enroll in basic education for adults courses in community and technical colleges under this chapter and shall submit this forecast as specified in RCW 43.88C.020.</w:t>
      </w:r>
    </w:p>
    <w:p>
      <w:pPr>
        <w:spacing w:before="0" w:after="0" w:line="408" w:lineRule="exact"/>
        <w:ind w:left="0" w:right="0" w:firstLine="576"/>
        <w:jc w:val="left"/>
      </w:pPr>
      <w:r>
        <w:rPr/>
        <w:t xml:space="preserve">(3) The college board shall submit a budget request each year to adjust the college board's appropriation to ensure full funding for the actual number of full-time equivalent students who enroll in basic education for adults courses in community and technical colleges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2013 c 332 s 11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r>
        <w:rPr>
          <w:u w:val="single"/>
        </w:rPr>
        <w:t xml:space="preserve">; and</w:t>
      </w:r>
    </w:p>
    <w:p>
      <w:pPr>
        <w:spacing w:before="0" w:after="0" w:line="408" w:lineRule="exact"/>
        <w:ind w:left="0" w:right="0" w:firstLine="576"/>
        <w:jc w:val="left"/>
      </w:pPr>
      <w:r>
        <w:rPr>
          <w:u w:val="single"/>
        </w:rPr>
        <w:t xml:space="preserve">(c) The number of students expected to enroll in basic education for adults courses at community and technical colleges created under chapter 28B.50 RCW</w:t>
      </w:r>
      <w:r>
        <w:rPr/>
        <w:t xml:space="preserve">.</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Unless the context clearly requires otherwise, the definitions provided in RCW 43.88.020 apply to this chapter.</w:t>
      </w:r>
    </w:p>
    <w:p/>
    <w:p>
      <w:pPr>
        <w:jc w:val="center"/>
      </w:pPr>
      <w:r>
        <w:rPr>
          <w:b/>
        </w:rPr>
        <w:t>--- END ---</w:t>
      </w:r>
    </w:p>
    <w:sectPr>
      <w:pgNumType w:start="1"/>
      <w:footerReference xmlns:r="http://schemas.openxmlformats.org/officeDocument/2006/relationships" r:id="R0910de029a17465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6200aaaa884afa" /><Relationship Type="http://schemas.openxmlformats.org/officeDocument/2006/relationships/footer" Target="/word/footer.xml" Id="R0910de029a17465b" /></Relationships>
</file>