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9fc1f0917d4986" /></Relationships>
</file>

<file path=word/document.xml><?xml version="1.0" encoding="utf-8"?>
<w:document xmlns:w="http://schemas.openxmlformats.org/wordprocessingml/2006/main">
  <w:body>
    <w:p>
      <w:r>
        <w:t>H-2156.1</w:t>
      </w:r>
    </w:p>
    <w:p>
      <w:pPr>
        <w:jc w:val="center"/>
      </w:pPr>
      <w:r>
        <w:t>_______________________________________________</w:t>
      </w:r>
    </w:p>
    <w:p/>
    <w:p>
      <w:pPr>
        <w:jc w:val="center"/>
      </w:pPr>
      <w:r>
        <w:rPr>
          <w:b/>
        </w:rPr>
        <w:t>SECOND SUBSTITUTE HOUSE BILL 1682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Fey, Stambaugh, Walsh, Riccelli, Goodman, Orwall, Zeiger, Appleton, Van De Wege, Lytton, Gregerson, Reykdal, Tarleton, Ortiz-Self, Kagi, Carlyle, Wylie, Bergquist, S. Hunt, Tharinger, Senn, Robinson, Moscoso, Pollet, Walkinshaw, McBride, and Jinkins)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educational outcomes for homeless students through increased in-school guidance supports, housing stability, and identification services; and amending RCW 28A.300.540.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2014 c 212 s 2 are each amended to read as follows:</w:t>
      </w:r>
    </w:p>
    <w:p>
      <w:pPr>
        <w:spacing w:before="0" w:after="0" w:line="408" w:lineRule="exact"/>
        <w:ind w:left="0" w:right="0" w:firstLine="576"/>
        <w:jc w:val="left"/>
      </w:pPr>
      <w:r>
        <w:rPr/>
        <w:t xml:space="preserve">(1) </w:t>
      </w:r>
      <w:r>
        <w:rPr>
          <w:u w:val="single"/>
        </w:rPr>
        <w:t xml:space="preserve">For the purposes of this section, "unaccompanied homeless student" means a student who is not in the physical custody of a parent or guardian and is homeless.</w:t>
      </w:r>
    </w:p>
    <w:p>
      <w:pPr>
        <w:spacing w:before="0" w:after="0" w:line="408" w:lineRule="exact"/>
        <w:ind w:left="0" w:right="0" w:firstLine="576"/>
        <w:jc w:val="left"/>
      </w:pPr>
      <w:r>
        <w:rPr>
          <w:u w:val="single"/>
        </w:rPr>
        <w:t xml:space="preserve">(2)</w:t>
      </w:r>
      <w:r>
        <w:rPr/>
        <w:t xml:space="preserve">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w:t>
      </w:r>
      <w:r>
        <w:rPr>
          <w:u w:val="single"/>
        </w:rPr>
        <w:t xml:space="preserve">The number of identified unaccompanied homeless students enrolled in public schools;</w:t>
      </w:r>
    </w:p>
    <w:p>
      <w:pPr>
        <w:spacing w:before="0" w:after="0" w:line="408" w:lineRule="exact"/>
        <w:ind w:left="0" w:right="0" w:firstLine="576"/>
        <w:jc w:val="left"/>
      </w:pPr>
      <w:r>
        <w:rPr>
          <w:u w:val="single"/>
        </w:rPr>
        <w:t xml:space="preserve">(iii)</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The academic performance and educational outcomes of homeless students </w:t>
      </w:r>
      <w:r>
        <w:rPr>
          <w:u w:val="single"/>
        </w:rPr>
        <w:t xml:space="preserve">and unaccompanied homeless students</w:t>
      </w:r>
      <w:r>
        <w:rPr/>
        <w:t xml:space="preserve">,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w:t>
      </w:r>
      <w:r>
        <w:t>((</w:t>
      </w:r>
      <w:r>
        <w:rPr>
          <w:strike/>
        </w:rPr>
        <w:t xml:space="preserve">(2)</w:t>
      </w:r>
      <w:r>
        <w:t>))</w:t>
      </w:r>
      <w:r>
        <w:rPr/>
        <w:t xml:space="preserve"> </w:t>
      </w:r>
      <w:r>
        <w:rPr>
          <w:u w:val="single"/>
        </w:rPr>
        <w:t xml:space="preserve">(3)</w:t>
      </w:r>
      <w:r>
        <w:rPr/>
        <w:t xml:space="preserve">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By July 1, 2014, the office of the superintendent of public instruction shall adopt and distribute to each school district, best practices for choosing and training school district-designated homeless student liaisons.</w:t>
      </w:r>
    </w:p>
    <w:p/>
    <w:p>
      <w:pPr>
        <w:jc w:val="center"/>
      </w:pPr>
      <w:r>
        <w:rPr>
          <w:b/>
        </w:rPr>
        <w:t>--- END ---</w:t>
      </w:r>
    </w:p>
    <w:sectPr>
      <w:pgNumType w:start="1"/>
      <w:footerReference xmlns:r="http://schemas.openxmlformats.org/officeDocument/2006/relationships" r:id="R00224609ab244e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df04ef86e544eb" /><Relationship Type="http://schemas.openxmlformats.org/officeDocument/2006/relationships/footer" Target="/word/footer.xml" Id="R00224609ab244ecf" /></Relationships>
</file>