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1b12129714eaf" /></Relationships>
</file>

<file path=word/document.xml><?xml version="1.0" encoding="utf-8"?>
<w:document xmlns:w="http://schemas.openxmlformats.org/wordprocessingml/2006/main">
  <w:body>
    <w:p>
      <w:r>
        <w:t>H-1043.2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1629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Scott, Taylor, and Shea</w:t>
      </w:r>
    </w:p>
    <w:p/>
    <w:p>
      <w:r>
        <w:rPr>
          <w:t xml:space="preserve">Read first time 01/23/15.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conversion of agricultural lands to wetlands or fish habitat under the shoreline management act; and adding a new section to chapter 90.58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90</w:t>
      </w:r>
      <w:r>
        <w:rPr/>
        <w:t xml:space="preserve">.</w:t>
      </w:r>
      <w:r>
        <w:t xml:space="preserve">58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Agricultural land, as defined in RCW 90.58.065, may not be converted to wetland or fish habitat, nor may it be subjected to tidal inundation.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755beb452e34a5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1629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99c39864a44a2" /><Relationship Type="http://schemas.openxmlformats.org/officeDocument/2006/relationships/footer" Target="/word/footer.xml" Id="Rd755beb452e34a58" /></Relationships>
</file>