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891962a58748ed" /></Relationships>
</file>

<file path=word/document.xml><?xml version="1.0" encoding="utf-8"?>
<w:document xmlns:w="http://schemas.openxmlformats.org/wordprocessingml/2006/main">
  <w:body>
    <w:p>
      <w:r>
        <w:t>H-0965.1</w:t>
      </w:r>
    </w:p>
    <w:p>
      <w:pPr>
        <w:jc w:val="center"/>
      </w:pPr>
      <w:r>
        <w:t>_______________________________________________</w:t>
      </w:r>
    </w:p>
    <w:p/>
    <w:p>
      <w:pPr>
        <w:jc w:val="center"/>
      </w:pPr>
      <w:r>
        <w:rPr>
          <w:b/>
        </w:rPr>
        <w:t>HOUSE BILL 1619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Nealey, Fitzgibbon, and Pollet</w:t>
      </w:r>
    </w:p>
    <w:p/>
    <w:p>
      <w:r>
        <w:rPr>
          <w:t xml:space="preserve">Read first time 01/23/15.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exemption for environmental handling charges; adding a new section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Engrossed Substitute House Bill No. 2246, enacted in 2014, created an environmental handling charge. However, the 2014 legislature did not intend for business and occupation taxes to be imposed on top of such charge. Therefore, the legislature intends to clarify that environmental handling charges are not subject to business and occupation taxation.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 person in respect to the business of selling a product upon which the seller assesses an environmental handling charge under Title 70 RCW.</w:t>
      </w:r>
    </w:p>
    <w:p>
      <w:pPr>
        <w:spacing w:before="0" w:after="0" w:line="408" w:lineRule="exact"/>
        <w:ind w:left="0" w:right="0" w:firstLine="576"/>
        <w:jc w:val="left"/>
      </w:pPr>
      <w:r>
        <w:rPr/>
        <w:t xml:space="preserve">(2) For the purposes of this section, "environmental handling charge" has the same meaning as provided in RCW 70.275.020.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requirements of RCW 82.32.805 and 82.32.808. This act is not subject to an expiration date.</w:t>
      </w:r>
    </w:p>
    <w:p/>
    <w:p>
      <w:pPr>
        <w:jc w:val="center"/>
      </w:pPr>
      <w:r>
        <w:rPr>
          <w:b/>
        </w:rPr>
        <w:t>--- END ---</w:t>
      </w:r>
    </w:p>
    <w:sectPr>
      <w:pgNumType w:start="1"/>
      <w:footerReference xmlns:r="http://schemas.openxmlformats.org/officeDocument/2006/relationships" r:id="R81707eb0fffc44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407c34417b4907" /><Relationship Type="http://schemas.openxmlformats.org/officeDocument/2006/relationships/footer" Target="/word/footer.xml" Id="R81707eb0fffc4470" /></Relationships>
</file>