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8046018823f4b8d" /></Relationships>
</file>

<file path=word/document.xml><?xml version="1.0" encoding="utf-8"?>
<w:document xmlns:w="http://schemas.openxmlformats.org/wordprocessingml/2006/main">
  <w:body>
    <w:p>
      <w:r>
        <w:t>Z-0349.1</w:t>
      </w:r>
    </w:p>
    <w:p>
      <w:pPr>
        <w:jc w:val="center"/>
      </w:pPr>
      <w:r>
        <w:t>_______________________________________________</w:t>
      </w:r>
    </w:p>
    <w:p/>
    <w:p>
      <w:pPr>
        <w:jc w:val="center"/>
      </w:pPr>
      <w:r>
        <w:rPr>
          <w:b/>
        </w:rPr>
        <w:t>HOUSE BILL 1598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and Rodne; by request of Department of Social and Health Services</w:t>
      </w:r>
    </w:p>
    <w:p/>
    <w:p>
      <w:r>
        <w:rPr>
          <w:t xml:space="preserve">Read first time 01/23/15.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criminal justice treatment account; amending RCW 70.96A.080 and 70.96A.350;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080</w:t>
      </w:r>
      <w:r>
        <w:rPr/>
        <w:t xml:space="preserve"> and 2014 c 225 s 25 are each amended to read as follows:</w:t>
      </w:r>
    </w:p>
    <w:p>
      <w:pPr>
        <w:spacing w:before="0" w:after="0" w:line="408" w:lineRule="exact"/>
        <w:ind w:left="0" w:right="0" w:firstLine="576"/>
        <w:jc w:val="left"/>
      </w:pPr>
      <w:r>
        <w:rPr/>
        <w:t xml:space="preserve">(1) In coordination with the health care authority, the department shall establish by appropriate means, a comprehensive and coordinated program for the treatment of persons with substance use disorders and their families, persons incapacitated by alcohol or other psychoactive chemicals, and intoxicated persons.</w:t>
      </w:r>
    </w:p>
    <w:p>
      <w:pPr>
        <w:spacing w:before="0" w:after="0" w:line="408" w:lineRule="exact"/>
        <w:ind w:left="0" w:right="0" w:firstLine="576"/>
        <w:jc w:val="left"/>
      </w:pPr>
      <w:r>
        <w:rPr/>
        <w:t xml:space="preserve">(2)(a) The program shall include, but not necessarily be limited to, a continuum of chemical dependency treatment services that includes:</w:t>
      </w:r>
    </w:p>
    <w:p>
      <w:pPr>
        <w:spacing w:before="0" w:after="0" w:line="408" w:lineRule="exact"/>
        <w:ind w:left="0" w:right="0" w:firstLine="576"/>
        <w:jc w:val="left"/>
      </w:pPr>
      <w:r>
        <w:rPr/>
        <w:t xml:space="preserve">(i) Withdrawal management;</w:t>
      </w:r>
    </w:p>
    <w:p>
      <w:pPr>
        <w:spacing w:before="0" w:after="0" w:line="408" w:lineRule="exact"/>
        <w:ind w:left="0" w:right="0" w:firstLine="576"/>
        <w:jc w:val="left"/>
      </w:pPr>
      <w:r>
        <w:rPr/>
        <w:t xml:space="preserve">(ii) Residential treatment; and</w:t>
      </w:r>
    </w:p>
    <w:p>
      <w:pPr>
        <w:spacing w:before="0" w:after="0" w:line="408" w:lineRule="exact"/>
        <w:ind w:left="0" w:right="0" w:firstLine="576"/>
        <w:jc w:val="left"/>
      </w:pPr>
      <w:r>
        <w:rPr/>
        <w:t xml:space="preserve">(iii) Outpatient treatment.</w:t>
      </w:r>
    </w:p>
    <w:p>
      <w:pPr>
        <w:spacing w:before="0" w:after="0" w:line="408" w:lineRule="exact"/>
        <w:ind w:left="0" w:right="0" w:firstLine="576"/>
        <w:jc w:val="left"/>
      </w:pPr>
      <w:r>
        <w:rPr/>
        <w:t xml:space="preserve">(b) The program may include peer support, supported housing, supported employment, crisis diversion, or recovery support services.</w:t>
      </w:r>
    </w:p>
    <w:p>
      <w:pPr>
        <w:spacing w:before="0" w:after="0" w:line="408" w:lineRule="exact"/>
        <w:ind w:left="0" w:right="0" w:firstLine="576"/>
        <w:jc w:val="left"/>
      </w:pPr>
      <w:r>
        <w:rPr/>
        <w:t xml:space="preserve">(3) All appropriate public and private resources shall be coordinated with and used in the program when possible.</w:t>
      </w:r>
    </w:p>
    <w:p>
      <w:pPr>
        <w:spacing w:before="0" w:after="0" w:line="408" w:lineRule="exact"/>
        <w:ind w:left="0" w:right="0" w:firstLine="576"/>
        <w:jc w:val="left"/>
      </w:pPr>
      <w:r>
        <w:rPr/>
        <w:t xml:space="preserve">(4) The department may contract for the use of an approved treatment program or other individual or organization if the secretary considers this to be an effective and economical course to follow.</w:t>
      </w:r>
    </w:p>
    <w:p>
      <w:pPr>
        <w:spacing w:before="0" w:after="0" w:line="408" w:lineRule="exact"/>
        <w:ind w:left="0" w:right="0" w:firstLine="576"/>
        <w:jc w:val="left"/>
      </w:pPr>
      <w:r>
        <w:rPr/>
        <w:t xml:space="preserve">(5) By April 1, 2016, treatment provided under this chapter must be purchased primarily through managed care contracts. Consistent with RCW 70.96A.350, services and funding provided through the criminal justice treatment account</w:t>
      </w:r>
      <w:r>
        <w:rPr>
          <w:u w:val="single"/>
        </w:rPr>
        <w:t xml:space="preserve">, except for the amount used to provide state matching funds for federal medicaid payments,</w:t>
      </w:r>
      <w:r>
        <w:rPr/>
        <w:t xml:space="preserve"> are intended to be exempted from managed care contracting.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(c) the administrative and overhead costs associated with the operation of a drug court; and (d) during the 2011-2013 biennium, the legislature may appropriate up to three million dollars from the account in order to offset reductions in the state general fund for treatment services provided by counties.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abuse treatment program, </w:t>
      </w:r>
      <w:r>
        <w:t>((</w:t>
      </w:r>
      <w:r>
        <w:rPr>
          <w:strike/>
        </w:rPr>
        <w:t xml:space="preserve">but does not include the following services: Housing other than that provided as part of an inpatient substance abuse treatment program, vocational training, and mental health counseling</w:t>
      </w:r>
      <w:r>
        <w:t>))</w:t>
      </w:r>
      <w:r>
        <w:rPr>
          <w:u w:val="single"/>
        </w:rPr>
        <w:t xml:space="preserve">including the services outlined in RCW 70.96A.080(2)(b), as amended by section 25, chapter 225, Laws of 2014, effective April 1, 2016</w:t>
      </w:r>
      <w:r>
        <w:rPr/>
        <w:t xml:space="preserve">;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spacing w:before="0" w:after="0" w:line="408" w:lineRule="exact"/>
        <w:ind w:left="0" w:right="0" w:firstLine="576"/>
        <w:jc w:val="left"/>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takes effect April 1, 2016.</w:t>
      </w:r>
    </w:p>
    <w:p/>
    <w:p>
      <w:pPr>
        <w:jc w:val="center"/>
      </w:pPr>
      <w:r>
        <w:rPr>
          <w:b/>
        </w:rPr>
        <w:t>--- END ---</w:t>
      </w:r>
    </w:p>
    <w:sectPr>
      <w:pgNumType w:start="1"/>
      <w:footerReference xmlns:r="http://schemas.openxmlformats.org/officeDocument/2006/relationships" r:id="R7121329c91884d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07bbe572cc4e1b" /><Relationship Type="http://schemas.openxmlformats.org/officeDocument/2006/relationships/footer" Target="/word/footer.xml" Id="R7121329c91884dce" /></Relationships>
</file>