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8a47ffc0d4078" /></Relationships>
</file>

<file path=word/document.xml><?xml version="1.0" encoding="utf-8"?>
<w:document xmlns:w="http://schemas.openxmlformats.org/wordprocessingml/2006/main">
  <w:body>
    <w:p>
      <w:r>
        <w:t>Z-0066.3</w:t>
      </w:r>
    </w:p>
    <w:p>
      <w:pPr>
        <w:jc w:val="center"/>
      </w:pPr>
      <w:r>
        <w:t>_______________________________________________</w:t>
      </w:r>
    </w:p>
    <w:p/>
    <w:p>
      <w:pPr>
        <w:jc w:val="center"/>
      </w:pPr>
      <w:r>
        <w:rPr>
          <w:b/>
        </w:rPr>
        <w:t>HOUSE BILL 1597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Rodne, and Wylie; by request of Department of Social and Health Services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timeliness of competency evaluation and restoration services, by clarifying alternative locations for the provision of competency restoration services and defining time periods of commitment; amending RCW 10.77.086, 10.77.088, and 10.77.220;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 This may include services within county-operated jails and other community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or has been determined unlikely to regain competency pursuant to RCW 10.77.084(1)(b),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but are not limited to, community mental health providers, county jails, or other local facilities.</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w:t>
      </w:r>
      <w:r>
        <w:rPr>
          <w:u w:val="single"/>
        </w:rPr>
        <w:t xml:space="preserve">The agencies may include, but are not limited to, community mental health providers, county jails, or other local facilities.</w:t>
      </w:r>
      <w:r>
        <w:rPr/>
        <w:t xml:space="preserve">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7fded7a905b4f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fefcca82364ac1" /><Relationship Type="http://schemas.openxmlformats.org/officeDocument/2006/relationships/footer" Target="/word/footer.xml" Id="Rc7fded7a905b4f2f" /></Relationships>
</file>