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4bee18fa14697" /></Relationships>
</file>

<file path=word/document.xml><?xml version="1.0" encoding="utf-8"?>
<w:document xmlns:w="http://schemas.openxmlformats.org/wordprocessingml/2006/main">
  <w:body>
    <w:p>
      <w:r>
        <w:t>H-4210.1</w:t>
      </w:r>
    </w:p>
    <w:p>
      <w:pPr>
        <w:jc w:val="center"/>
      </w:pPr>
      <w:r>
        <w:t>_______________________________________________</w:t>
      </w:r>
    </w:p>
    <w:p/>
    <w:p>
      <w:pPr>
        <w:jc w:val="center"/>
      </w:pPr>
      <w:r>
        <w:rPr>
          <w:b/>
        </w:rPr>
        <w:t>SUBSTITUTE HOUSE BILL 1585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Young, Shea, Scott, G. Hunt, Taylor,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right of first repurchase for surplus transportation property; and amending RCW 47.12.063.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r>
        <w:rPr>
          <w:u w:val="single"/>
        </w:rPr>
        <w:t xml:space="preserve">, unless the property is eligible to be sold under subsection (4) of this section</w:t>
      </w:r>
      <w:r>
        <w:rPr/>
        <w:t xml:space="preserve">.</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r>
        <w:rPr>
          <w:u w:val="single"/>
        </w:rPr>
        <w:t xml:space="preserve">, unless the property is eligible to be sold under subsection (4) of this section</w:t>
      </w:r>
      <w:r>
        <w:rPr/>
        <w:t xml:space="preserv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t>
      </w:r>
      <w:r>
        <w:rPr>
          <w:u w:val="single"/>
        </w:rPr>
        <w:t xml:space="preserve">If the department determines that all or a portion of real property or an interest in real property that was acquired through condemnation within the previous ten years is no longer necessary for a transportation purpose, the former owner has a right of repurchase as described in this subsection. For the purposes of this subsection, "former owner" means the person or entity from whom the department acquired title. At least ninety days prior to the date on which the property is intended to be sold by the department, the department must mail notice of the planned sale to the former owner of the property at the former owner's last known address or to a forwarding address if that owner has provided the department with a forwarding address. If</w:t>
      </w:r>
      <w:r>
        <w:rPr/>
        <w:t xml:space="preserve"> </w:t>
      </w:r>
      <w:r>
        <w:rPr>
          <w:u w:val="single"/>
        </w:rPr>
        <w:t xml:space="preserve">the former owner of the property's last known address, or forwarding address if a forwarding address has been provided, is no longer the former owner of the property's address, the right of repurchase is extinguished. If the former owner notifies the department within thirty days of the date of the notice that the former owner intends to repurchase the property, the department shall proceed with the sale of the property to the former owner for fair market value and shall not list the property for sale to other owners. If the former owner does not provide timely written notice to the department of the intent to exercise a repurchase right, or if the sale to the former owner is not completed within six months of the date of notice that the former owner intends to repurchase the property, the right of repurchase is extinguished.</w:t>
      </w:r>
    </w:p>
    <w:p>
      <w:pPr>
        <w:spacing w:before="0" w:after="0" w:line="408" w:lineRule="exact"/>
        <w:ind w:left="0" w:right="0" w:firstLine="576"/>
        <w:jc w:val="left"/>
      </w:pPr>
      <w:r>
        <w:rPr>
          <w:u w:val="single"/>
        </w:rPr>
        <w:t xml:space="preserve">(5)</w:t>
      </w:r>
      <w:r>
        <w:rPr/>
        <w:t xml:space="preserve">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Conveyances made pursuant to this section shall be by deed executed by the secretary of transportation and shall be duly acknowledged.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may not enter into equal value exchanges or property acquisitions for building improvements without first consulting with the office of financial management and the joint transportation committee.</w:t>
      </w:r>
    </w:p>
    <w:p/>
    <w:p>
      <w:pPr>
        <w:jc w:val="center"/>
      </w:pPr>
      <w:r>
        <w:rPr>
          <w:b/>
        </w:rPr>
        <w:t>--- END ---</w:t>
      </w:r>
    </w:p>
    <w:sectPr>
      <w:pgNumType w:start="1"/>
      <w:footerReference xmlns:r="http://schemas.openxmlformats.org/officeDocument/2006/relationships" r:id="R284e0f27b194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e07f7dc344582" /><Relationship Type="http://schemas.openxmlformats.org/officeDocument/2006/relationships/footer" Target="/word/footer.xml" Id="R284e0f27b1944517" /></Relationships>
</file>