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8fd9d80ab343c6" /></Relationships>
</file>

<file path=word/document.xml><?xml version="1.0" encoding="utf-8"?>
<w:document xmlns:w="http://schemas.openxmlformats.org/wordprocessingml/2006/main">
  <w:body>
    <w:p>
      <w:r>
        <w:t>H-0437.1</w:t>
      </w:r>
    </w:p>
    <w:p>
      <w:pPr>
        <w:jc w:val="center"/>
      </w:pPr>
      <w:r>
        <w:t>_______________________________________________</w:t>
      </w:r>
    </w:p>
    <w:p/>
    <w:p>
      <w:pPr>
        <w:jc w:val="center"/>
      </w:pPr>
      <w:r>
        <w:rPr>
          <w:b/>
        </w:rPr>
        <w:t>HOUSE BILL 1582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Rodne, Moscoso, Zeiger, Sells, Hurst, and Wylie</w:t>
      </w:r>
    </w:p>
    <w:p/>
    <w:p>
      <w:r>
        <w:rPr>
          <w:t xml:space="preserve">Read first time 01/23/15.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penalty amounts and fees for certain traffic violations; amending RCW 46.63.110, 46.61.165, and 46.61.502;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w:t>
      </w:r>
      <w:r>
        <w:t>((</w:t>
      </w:r>
      <w:r>
        <w:rPr>
          <w:strike/>
        </w:rPr>
        <w:t xml:space="preserve">and</w:t>
      </w:r>
      <w:r>
        <w:t>))</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r>
        <w:rPr>
          <w:u w:val="single"/>
        </w:rPr>
        <w:t xml:space="preserve">;</w:t>
      </w:r>
    </w:p>
    <w:p>
      <w:pPr>
        <w:spacing w:before="0" w:after="0" w:line="408" w:lineRule="exact"/>
        <w:ind w:left="0" w:right="0" w:firstLine="576"/>
        <w:jc w:val="left"/>
      </w:pPr>
      <w:r>
        <w:rPr>
          <w:u w:val="single"/>
        </w:rPr>
        <w:t xml:space="preserve">(d) A fee of twenty-eight dollars per infraction. Revenue from this fee shall be forwarded to the state treasurer for deposit into the motor vehicle fund; and</w:t>
      </w:r>
    </w:p>
    <w:p>
      <w:pPr>
        <w:spacing w:before="0" w:after="0" w:line="408" w:lineRule="exact"/>
        <w:ind w:left="0" w:right="0" w:firstLine="576"/>
        <w:jc w:val="left"/>
      </w:pPr>
      <w:r>
        <w:rPr>
          <w:u w:val="single"/>
        </w:rPr>
        <w:t xml:space="preserve">(e) For speeding infractions, a sliding scale fee of twenty-five dollars at each existing bail level that is in rule on January 1, 2015. Revenue from this fee shall be forwarded to the state treasurer for deposit into the motor vehicle fund</w:t>
      </w:r>
      <w:r>
        <w:rPr/>
        <w:t xml:space="preserve">.</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2013 c 26 s 2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or (d)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forty-five miles per hour at least ninety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 </w:t>
      </w:r>
      <w:r>
        <w:rPr>
          <w:u w:val="single"/>
        </w:rPr>
        <w:t xml:space="preserve">with a minimum penalty amount of two hundred fifty dollars. One hundred twenty-six dollars of this penalty amount must be deposited into the motor vehicle fund</w:t>
      </w:r>
      <w:r>
        <w:rPr/>
        <w:t xml:space="preserve">.</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2013 c 3 s 33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four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0" w:after="0" w:line="408" w:lineRule="exact"/>
        <w:ind w:left="0" w:right="0" w:firstLine="576"/>
        <w:jc w:val="left"/>
      </w:pPr>
      <w:r>
        <w:rPr>
          <w:u w:val="single"/>
        </w:rPr>
        <w:t xml:space="preserve">(7) There is a fee of five hundred fifty dollars for each alcohol concentration or THC concentration test administered pursuant to this section. The fee must be deposited into the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94e044a078574c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85926bc9194372" /><Relationship Type="http://schemas.openxmlformats.org/officeDocument/2006/relationships/footer" Target="/word/footer.xml" Id="R94e044a078574c1f" /></Relationships>
</file>