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44e01c0b34b4c" /></Relationships>
</file>

<file path=word/document.xml><?xml version="1.0" encoding="utf-8"?>
<w:document xmlns:w="http://schemas.openxmlformats.org/wordprocessingml/2006/main">
  <w:body>
    <w:p>
      <w:r>
        <w:t>Z-0385.1</w:t>
      </w:r>
    </w:p>
    <w:p>
      <w:pPr>
        <w:jc w:val="center"/>
      </w:pPr>
      <w:r>
        <w:t>_______________________________________________</w:t>
      </w:r>
    </w:p>
    <w:p/>
    <w:p>
      <w:pPr>
        <w:jc w:val="center"/>
      </w:pPr>
      <w:r>
        <w:rPr>
          <w:b/>
        </w:rPr>
        <w:t>HOUSE BILL 1572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Bergquist, Fey, Fitzgibbon, and S. Hunt; by request of Governor Inslee</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electric vehicle infrastructure bank; adding a new section to chapter 47.29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development of electric vehicle infrastructure is a critical step in creating jobs, fostering economic growth, reducing greenhouse gas emissions, and spurring electric vehicle usage across the state. Limited driving distance between battery charges is a fundamental disadvantage and obstacle to broad consumer adoption of vehicles powered by electricity. To eliminate this fundamental disadvantage and dramatically increase consumer usage of electric vehicles, it is essential that an infrastructure of convenient electric vehicle charging opportunities be developed. It is the intent of the legislature with this act to encourage the transition to electric vehicle use and to expedite the establishment of a convenient, cost-effective electric vehicle infrastructure that such a transition necessitates.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must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and to the governor's office.</w:t>
      </w:r>
    </w:p>
    <w:p>
      <w:pPr>
        <w:spacing w:before="0" w:after="0" w:line="408" w:lineRule="exact"/>
        <w:ind w:left="0" w:right="0" w:firstLine="576"/>
        <w:jc w:val="left"/>
      </w:pPr>
      <w:r>
        <w:rPr/>
        <w:t xml:space="preserve">(4) This section expires July 1, 2025.</w:t>
      </w:r>
    </w:p>
    <w:p/>
    <w:p>
      <w:pPr>
        <w:jc w:val="center"/>
      </w:pPr>
      <w:r>
        <w:rPr>
          <w:b/>
        </w:rPr>
        <w:t>--- END ---</w:t>
      </w:r>
    </w:p>
    <w:sectPr>
      <w:pgNumType w:start="1"/>
      <w:footerReference xmlns:r="http://schemas.openxmlformats.org/officeDocument/2006/relationships" r:id="R9305c76b9d0441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be8bb47ade425c" /><Relationship Type="http://schemas.openxmlformats.org/officeDocument/2006/relationships/footer" Target="/word/footer.xml" Id="R9305c76b9d04417e" /></Relationships>
</file>