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23015daab486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Gregory, Bergquist, S. Hunt, Reykdal, Kilduff, Ortiz-Self, and Pollet;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for the educator retooling conditional scholarship program; and amending RCW 28A.660.045 and 28A.660.050.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1st sp.s. c 3 s 3 are each amended to read as follows:</w:t>
      </w:r>
    </w:p>
    <w:p>
      <w:pPr>
        <w:spacing w:before="0" w:after="0" w:line="408" w:lineRule="exact"/>
        <w:ind w:left="0" w:right="0" w:firstLine="576"/>
        <w:jc w:val="left"/>
      </w:pPr>
      <w:r>
        <w:rPr/>
        <w:t xml:space="preserve">(1) The educator retooling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1st sp.s. c 3 s 4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w:t>
      </w:r>
      <w:r>
        <w:rPr>
          <w:u w:val="single"/>
        </w:rPr>
        <w:t xml:space="preserve">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eb37d4e5651847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489bdbf8a049f7" /><Relationship Type="http://schemas.openxmlformats.org/officeDocument/2006/relationships/footer" Target="/word/footer.xml" Id="Reb37d4e565184760" /></Relationships>
</file>