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dfc046b8348a5" /></Relationships>
</file>

<file path=word/document.xml><?xml version="1.0" encoding="utf-8"?>
<w:document xmlns:w="http://schemas.openxmlformats.org/wordprocessingml/2006/main">
  <w:body>
    <w:p>
      <w:r>
        <w:t>H-2028.1</w:t>
      </w:r>
    </w:p>
    <w:p>
      <w:pPr>
        <w:jc w:val="center"/>
      </w:pPr>
      <w:r>
        <w:t>_______________________________________________</w:t>
      </w:r>
    </w:p>
    <w:p/>
    <w:p>
      <w:pPr>
        <w:jc w:val="center"/>
      </w:pPr>
      <w:r>
        <w:rPr>
          <w:b/>
        </w:rPr>
        <w:t>SUBSTITUTE HOUSE BILL 1569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Kagi, Goodman, Hayes, Holy, Fitzgibbon, and Ormsby)</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drug offender sentencing alternative; and amending RCW 9.94A.660.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or sex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at any time or violent offense within ten years before conviction of the current offense, in this state, another state, or the United States;</w:t>
      </w:r>
    </w:p>
    <w:p>
      <w:pPr>
        <w:spacing w:before="0" w:after="0" w:line="408" w:lineRule="exact"/>
        <w:ind w:left="0" w:right="0" w:firstLine="576"/>
        <w:jc w:val="left"/>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(e) The offender has not been found by the United States attorney general to be subject to a deportation detainer or order and does not become subject to a deportation order during the period of the sentence;</w:t>
      </w:r>
    </w:p>
    <w:p>
      <w:pPr>
        <w:spacing w:before="0" w:after="0" w:line="408" w:lineRule="exact"/>
        <w:ind w:left="0" w:right="0" w:firstLine="576"/>
        <w:jc w:val="left"/>
      </w:pPr>
      <w:r>
        <w:rPr/>
        <w:t xml:space="preserve">(f) The end of the standard sentence range for the current offense is greater than one year; and</w:t>
      </w:r>
    </w:p>
    <w:p>
      <w:pPr>
        <w:spacing w:before="0" w:after="0" w:line="408" w:lineRule="exact"/>
        <w:ind w:left="0" w:right="0" w:firstLine="576"/>
        <w:jc w:val="left"/>
      </w:pPr>
      <w:r>
        <w:rPr/>
        <w:t xml:space="preserve">(g) The offender has not received a drug offender sentencing alternative more than once in the prior ten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w:t>
      </w:r>
      <w:r>
        <w:t>((</w:t>
      </w:r>
      <w:r>
        <w:rPr>
          <w:strike/>
        </w:rPr>
        <w:t xml:space="preserve">twenty-four</w:t>
      </w:r>
      <w:r>
        <w:t>))</w:t>
      </w:r>
      <w:r>
        <w:rPr/>
        <w:t xml:space="preserve"> </w:t>
      </w:r>
      <w:r>
        <w:rPr>
          <w:u w:val="single"/>
        </w:rPr>
        <w:t xml:space="preserve">thirty-six</w:t>
      </w:r>
      <w:r>
        <w:rPr/>
        <w:t xml:space="preserve"> months or less.</w:t>
      </w:r>
    </w:p>
    <w:p>
      <w:pPr>
        <w:spacing w:before="0" w:after="0" w:line="408" w:lineRule="exact"/>
        <w:ind w:left="0" w:right="0" w:firstLine="576"/>
        <w:jc w:val="left"/>
      </w:pPr>
      <w:r>
        <w:rPr/>
        <w:t xml:space="preserve">(4) To assist the court in making its determination, the court may order the department to complete either or both a risk assessment report and a chemical dependency screening report as provided in RCW 9.94A.500.</w:t>
      </w:r>
    </w:p>
    <w:p>
      <w:pPr>
        <w:spacing w:before="0" w:after="0" w:line="408" w:lineRule="exact"/>
        <w:ind w:left="0" w:right="0" w:firstLine="576"/>
        <w:jc w:val="left"/>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drug addiction;</w:t>
      </w:r>
    </w:p>
    <w:p>
      <w:pPr>
        <w:spacing w:before="0" w:after="0" w:line="408" w:lineRule="exact"/>
        <w:ind w:left="0" w:right="0" w:firstLine="576"/>
        <w:jc w:val="left"/>
      </w:pPr>
      <w:r>
        <w:rPr/>
        <w:t xml:space="preserve">(ii) Whether the addiction is such that there is a probability that criminal behavior will occur in the future;</w:t>
      </w:r>
    </w:p>
    <w:p>
      <w:pPr>
        <w:spacing w:before="0" w:after="0" w:line="408" w:lineRule="exact"/>
        <w:ind w:left="0" w:right="0" w:firstLine="576"/>
        <w:jc w:val="left"/>
      </w:pPr>
      <w:r>
        <w:rPr/>
        <w:t xml:space="preserve">(iii) Whether effective treatment for the offender's addiction is available from a provider that has been licensed or certified by the division of alcohol and substance abuse of the department of social and health services; and</w:t>
      </w:r>
    </w:p>
    <w:p>
      <w:pPr>
        <w:spacing w:before="0" w:after="0" w:line="408" w:lineRule="exact"/>
        <w:ind w:left="0" w:right="0" w:firstLine="576"/>
        <w:jc w:val="left"/>
      </w:pPr>
      <w:r>
        <w:rPr/>
        <w:t xml:space="preserve">(iv) Whether the offender and the community will benefit from the use of the alternative.</w:t>
      </w:r>
    </w:p>
    <w:p>
      <w:pPr>
        <w:spacing w:before="0" w:after="0" w:line="408" w:lineRule="exact"/>
        <w:ind w:left="0" w:right="0" w:firstLine="576"/>
        <w:jc w:val="left"/>
      </w:pPr>
      <w:r>
        <w:rPr/>
        <w:t xml:space="preserve">(b) The examination report must contain:</w:t>
      </w:r>
    </w:p>
    <w:p>
      <w:pPr>
        <w:spacing w:before="0" w:after="0" w:line="408" w:lineRule="exact"/>
        <w:ind w:left="0" w:right="0" w:firstLine="576"/>
        <w:jc w:val="left"/>
      </w:pPr>
      <w:r>
        <w:rPr/>
        <w:t xml:space="preserve">(i) A proposed monitoring plan, including any requirements regarding living conditions, lifestyle requirements, and monitoring by family members and others; and</w:t>
      </w:r>
    </w:p>
    <w:p>
      <w:pPr>
        <w:spacing w:before="0" w:after="0" w:line="408" w:lineRule="exact"/>
        <w:ind w:left="0" w:right="0" w:firstLine="576"/>
        <w:jc w:val="left"/>
      </w:pPr>
      <w:r>
        <w:rPr/>
        <w:t xml:space="preserve">(ii) Recommended crime-related prohibitions and affirmative conditions.</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any time previously served </w:t>
      </w:r>
      <w:r>
        <w:rPr>
          <w:u w:val="single"/>
        </w:rPr>
        <w:t xml:space="preserve">in partial or total confinement</w:t>
      </w:r>
      <w:r>
        <w:rPr/>
        <w:t xml:space="preserve">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 </w:t>
      </w:r>
    </w:p>
    <w:p>
      <w:pPr>
        <w:spacing w:before="0" w:after="0" w:line="408" w:lineRule="exact"/>
        <w:ind w:left="0" w:right="0" w:firstLine="576"/>
        <w:jc w:val="left"/>
      </w:pPr>
      <w:r>
        <w:rPr/>
        <w:t xml:space="preserve">(10) Costs of examinations and preparing treatment plans under a special drug offender sentencing alternative may be paid, at the option of the county, from funds provided to the county from the criminal justice treatment account under RCW 70.96A.350.</w:t>
      </w:r>
    </w:p>
    <w:p/>
    <w:p>
      <w:pPr>
        <w:jc w:val="center"/>
      </w:pPr>
      <w:r>
        <w:rPr>
          <w:b/>
        </w:rPr>
        <w:t>--- END ---</w:t>
      </w:r>
    </w:p>
    <w:sectPr>
      <w:pgNumType w:start="1"/>
      <w:footerReference xmlns:r="http://schemas.openxmlformats.org/officeDocument/2006/relationships" r:id="R0b1efb760ae748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39cfc43884452b" /><Relationship Type="http://schemas.openxmlformats.org/officeDocument/2006/relationships/footer" Target="/word/footer.xml" Id="R0b1efb760ae748fd" /></Relationships>
</file>