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721511fc064446" /></Relationships>
</file>

<file path=word/document.xml><?xml version="1.0" encoding="utf-8"?>
<w:document xmlns:w="http://schemas.openxmlformats.org/wordprocessingml/2006/main">
  <w:body>
    <w:p>
      <w:r>
        <w:t>H-0868.1</w:t>
      </w:r>
    </w:p>
    <w:p>
      <w:pPr>
        <w:jc w:val="center"/>
      </w:pPr>
      <w:r>
        <w:t>_______________________________________________</w:t>
      </w:r>
    </w:p>
    <w:p/>
    <w:p>
      <w:pPr>
        <w:jc w:val="center"/>
      </w:pPr>
      <w:r>
        <w:rPr>
          <w:b/>
        </w:rPr>
        <w:t>HOUSE BILL 1563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Van De Wege, Tharinger, and Moscoso</w:t>
      </w:r>
    </w:p>
    <w:p/>
    <w:p>
      <w:r>
        <w:rPr>
          <w:t xml:space="preserve">Read first time 01/22/15.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increased revenue to the state wildlife account; amending RCW 77.15.500, 77.65.010, 77.65.150, 77.65.160, 77.65.170, 77.65.190, 77.65.280, 77.65.340, 77.65.440, 77.65.480, 77.65.510, 82.27.020, and 82.27.070; reenacting and amending RCW 77.12.170; adding new sections to chapter 77.65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t>
      </w:r>
      <w:r>
        <w:t>((</w:t>
      </w:r>
      <w:r>
        <w:rPr>
          <w:strike/>
        </w:rPr>
        <w:t xml:space="preserve">which</w:t>
      </w:r>
      <w:r>
        <w:t>))</w:t>
      </w:r>
      <w:r>
        <w:rPr>
          <w:u w:val="single"/>
        </w:rPr>
        <w:t xml:space="preserve">that</w:t>
      </w:r>
      <w:r>
        <w:rPr/>
        <w:t xml:space="preserve">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w:t>
      </w:r>
      <w:r>
        <w:rPr>
          <w:u w:val="single"/>
        </w:rPr>
        <w:t xml:space="preserve">section 4 of this act,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and Washington's Wildlife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w:t>
      </w:r>
      <w:r>
        <w:t>((</w:t>
      </w:r>
      <w:r>
        <w:rPr>
          <w:strike/>
        </w:rPr>
        <w:t xml:space="preserve">anadromous game</w:t>
      </w:r>
      <w:r>
        <w:t>))</w:t>
      </w:r>
      <w:r>
        <w:rPr>
          <w:u w:val="single"/>
        </w:rPr>
        <w:t xml:space="preserve">enhanced food</w:t>
      </w:r>
      <w:r>
        <w:rPr/>
        <w:t xml:space="preserv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w:t>
      </w:r>
      <w:r>
        <w:t>((</w:t>
      </w:r>
      <w:r>
        <w:rPr>
          <w:strike/>
        </w:rPr>
        <w:t xml:space="preserve">and</w:t>
      </w:r>
      <w:r>
        <w:t>))</w:t>
      </w:r>
    </w:p>
    <w:p>
      <w:pPr>
        <w:spacing w:before="0" w:after="0" w:line="408" w:lineRule="exact"/>
        <w:ind w:left="0" w:right="0" w:firstLine="576"/>
        <w:jc w:val="left"/>
      </w:pPr>
      <w:r>
        <w:rPr/>
        <w:t xml:space="preserve">(m) Donations received by the director under RCW 77.12.039</w:t>
      </w:r>
      <w:r>
        <w:rPr>
          <w:u w:val="single"/>
        </w:rPr>
        <w:t xml:space="preserve">; and</w:t>
      </w:r>
    </w:p>
    <w:p>
      <w:pPr>
        <w:spacing w:before="0" w:after="0" w:line="408" w:lineRule="exact"/>
        <w:ind w:left="0" w:right="0" w:firstLine="576"/>
        <w:jc w:val="left"/>
      </w:pPr>
      <w:r>
        <w:rPr>
          <w:u w:val="single"/>
        </w:rPr>
        <w:t xml:space="preserve">(n) The commercial anadromous surcharge required by chapter 77.65 RCW</w:t>
      </w:r>
      <w:r>
        <w:rPr/>
        <w:t xml:space="preserve">.</w:t>
      </w:r>
    </w:p>
    <w:p>
      <w:pPr>
        <w:spacing w:before="0" w:after="0" w:line="408" w:lineRule="exact"/>
        <w:ind w:left="0" w:right="0" w:firstLine="576"/>
        <w:jc w:val="left"/>
      </w:pPr>
      <w:r>
        <w:rPr/>
        <w:t xml:space="preserve">(2) State and county officers receiving any moneys listed in subsection (1) of this section </w:t>
      </w:r>
      <w:r>
        <w:t>((</w:t>
      </w:r>
      <w:r>
        <w:rPr>
          <w:strike/>
        </w:rPr>
        <w:t xml:space="preserve">shall</w:t>
      </w:r>
      <w:r>
        <w:t>))</w:t>
      </w:r>
      <w:r>
        <w:rPr>
          <w:u w:val="single"/>
        </w:rPr>
        <w:t xml:space="preserve">must</w:t>
      </w:r>
      <w:r>
        <w:rPr/>
        <w:t xml:space="preserve">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food fish, shellfish, or game fish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food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food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4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food fish or shellfish with a value of two hundred fifty dollars or more; or</w:t>
      </w:r>
    </w:p>
    <w:p>
      <w:pPr>
        <w:spacing w:before="0" w:after="0" w:line="408" w:lineRule="exact"/>
        <w:ind w:left="0" w:right="0" w:firstLine="576"/>
        <w:jc w:val="left"/>
      </w:pPr>
      <w:r>
        <w:rPr/>
        <w:t xml:space="preserve">(b) The violation involves taking, delivery, or possession of food fish or shellfish from an area that was closed to the taking of such food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In addition to any commercial license required under this chapter, an anadromous surcharge is required in order to commercially fish, harvest, sell, purchase, or process any anadromous species.</w:t>
      </w:r>
    </w:p>
    <w:p>
      <w:pPr>
        <w:spacing w:before="0" w:after="0" w:line="408" w:lineRule="exact"/>
        <w:ind w:left="0" w:right="0" w:firstLine="576"/>
        <w:jc w:val="left"/>
      </w:pPr>
      <w:r>
        <w:rPr/>
        <w:t xml:space="preserve">(2) The amount of the applicable commercial anadromous surcharge is as provided in RCW 77.65.150, 77.65.170, 77.65.190, 77.65.280, 77.65.340, 77.65.440, 77.65.480, and 77.65.510.</w:t>
      </w:r>
    </w:p>
    <w:p>
      <w:pPr>
        <w:spacing w:before="0" w:after="0" w:line="408" w:lineRule="exact"/>
        <w:ind w:left="0" w:right="0" w:firstLine="576"/>
        <w:jc w:val="left"/>
      </w:pPr>
      <w:r>
        <w:rPr/>
        <w:t xml:space="preserve">(3) The commercial anadromous surcharge must be deposited into the state wildlife account created in RCW 77.12.170. Moneys received from the anadromous surcharge must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 crewmember license is required for each individual who works on any commercial vessel while operating in a commercial fishery regulated by the state, except that the individual on the vessel designated as the primary or alternate operator on the commercial fishing license does not also need a crewmember license.</w:t>
      </w:r>
    </w:p>
    <w:p>
      <w:pPr>
        <w:spacing w:before="0" w:after="0" w:line="408" w:lineRule="exact"/>
        <w:ind w:left="0" w:right="0" w:firstLine="576"/>
        <w:jc w:val="left"/>
      </w:pPr>
      <w:r>
        <w:rPr/>
        <w:t xml:space="preserve">(b) A crewmember license is not required for an individual aboard a licensed vessel who does not directly or indirectly participate in the operation of the vessel, the harvest, or catch processing activity. For the purposes of this section the terms "harvest" or "catch processing" include participation in tending, deploying, retrieving, or baiting fishing gear, harvesting, transferring or receiving fish or shellfish, heading and gutting fish, freezing, icing, or placing fish or shellfish in holds.</w:t>
      </w:r>
    </w:p>
    <w:p>
      <w:pPr>
        <w:spacing w:before="0" w:after="0" w:line="408" w:lineRule="exact"/>
        <w:ind w:left="0" w:right="0" w:firstLine="576"/>
        <w:jc w:val="left"/>
      </w:pPr>
      <w:r>
        <w:rPr/>
        <w:t xml:space="preserve">(2) A crewmember license must be purchased by an individual working as a crewmember, which license the holder may use aboard any commercial fishing vessel. A crewmember license purchased by a crewmember may not be transferred to another individual.</w:t>
      </w:r>
    </w:p>
    <w:p>
      <w:pPr>
        <w:spacing w:before="0" w:after="0" w:line="408" w:lineRule="exact"/>
        <w:ind w:left="0" w:right="0" w:firstLine="576"/>
        <w:jc w:val="left"/>
      </w:pPr>
      <w:r>
        <w:rPr/>
        <w:t xml:space="preserve">(3) A crewmember license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can be used to authorize a different individual to act as a crewmember on a subsequent trip.</w:t>
      </w:r>
    </w:p>
    <w:p>
      <w:pPr>
        <w:spacing w:before="0" w:after="0" w:line="408" w:lineRule="exact"/>
        <w:ind w:left="0" w:right="0" w:firstLine="576"/>
        <w:jc w:val="left"/>
      </w:pPr>
      <w:r>
        <w:rPr/>
        <w:t xml:space="preserve">(4)(a) The fee for an annual crewmember license is one hundred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(b) A five consecutive day crewmember license may be purchased for a fee of twenty-five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Moneys received from the sale of a crewmember license must be deposited into the state wildlife account and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2009 c 333 s 7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processing or wholesaling food fish or shellfish; </w:t>
      </w:r>
      <w:r>
        <w:t>((</w:t>
      </w:r>
      <w:r>
        <w:rPr>
          <w:strike/>
        </w:rPr>
        <w:t xml:space="preserve">or</w:t>
      </w:r>
      <w:r>
        <w:t>))</w:t>
      </w:r>
    </w:p>
    <w:p>
      <w:pPr>
        <w:spacing w:before="0" w:after="0" w:line="408" w:lineRule="exact"/>
        <w:ind w:left="0" w:right="0" w:firstLine="576"/>
        <w:jc w:val="left"/>
      </w:pPr>
      <w:r>
        <w:rPr/>
        <w:t xml:space="preserve">(e) Act as a food fish guide for personal use in freshwater rivers and streams, except that a charter boat license is required to operate a vessel from which a person may for a fee fish for food fish in state waters listed in RCW 77.65.150(4)(b)</w:t>
      </w:r>
      <w:r>
        <w:rPr>
          <w:u w:val="single"/>
        </w:rPr>
        <w:t xml:space="preserve">; or</w:t>
      </w:r>
    </w:p>
    <w:p>
      <w:pPr>
        <w:spacing w:before="0" w:after="0" w:line="408" w:lineRule="exact"/>
        <w:ind w:left="0" w:right="0" w:firstLine="576"/>
        <w:jc w:val="left"/>
      </w:pPr>
      <w:r>
        <w:rPr>
          <w:u w:val="single"/>
        </w:rPr>
        <w:t xml:space="preserve">(f) Work as a crewmember on any commercial vessel operating in a commercial fishery regulated by the state, including crews of tenders, processors, catcher processors, or other floating craft while used in catching or transporting fish or shellfish</w:t>
      </w:r>
      <w:r>
        <w:rPr/>
        <w:t xml:space="preserve">.</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The director shall issue the charter licenses and angler permits listed in this section according to the requirements of this title.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540"/>
        <w:gridCol w:w="765"/>
        <w:gridCol w:w="1080"/>
        <w:gridCol w:w="1185"/>
        <w:gridCol w:w="1080"/>
        <w:gridCol w:w="1290"/>
        <w:gridCol w:w="1290"/>
        <w:gridCol w:w="1155"/>
        <w:gridCol w:w="800"/>
        <w:gridCol w:w="975"/>
      </w:tblGrid>
      <w:tr>
        <w:tc>
          <w:tcPr>
            <w:gridSpan w:val="2"/>
            <w:tcW w:w="1305" w:type="dxa"/>
            <w:vAlign w:val="top"/>
          </w:tcPr>
          <w:p>
            <w:pPr>
              <w:spacing w:before="0" w:after="0" w:line="408" w:lineRule="exact"/>
              <w:ind w:left="0" w:right="0" w:firstLine="0"/>
              <w:jc w:val="center"/>
            </w:pPr>
            <w:r>
              <w:rPr>
                <w:rFonts w:ascii="Times New Roman" w:hAnsi="Times New Roman"/>
                <w:sz w:val="16"/>
                <w:u w:val="single"/>
              </w:rPr>
              <w:t xml:space="preserve">Fishery</w:t>
            </w:r>
            <w:r>
              <w:rPr>
                <w:rFonts w:ascii="Times New Roman" w:hAnsi="Times New Roman"/>
                <w:sz w:val="16"/>
              </w:rPr>
              <w:t xml:space="preserve"> 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5"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p>
            <w:pPr>
              <w:spacing w:before="0" w:after="120" w:line="408" w:lineRule="exact"/>
              <w:ind w:left="0" w:right="0" w:firstLine="0"/>
              <w:jc w:val="center"/>
            </w:pPr>
            <w:r>
              <w:t>((</w:t>
            </w:r>
            <w:r>
              <w:rPr>
                <w:rFonts w:ascii="Times New Roman" w:hAnsi="Times New Roman"/>
                <w:strike/>
                <w:sz w:val="16"/>
              </w:rPr>
              <w:t xml:space="preserve">(RCW 77.12.702 Surcharge)</w:t>
            </w:r>
            <w:r>
              <w:t>))</w:t>
            </w:r>
          </w:p>
        </w:tc>
        <w:tc>
          <w:tcPr>
            <w:gridSpan w:val="2"/>
            <w:tcW w:w="237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3 of this act)</w:t>
            </w:r>
          </w:p>
        </w:tc>
        <w:tc>
          <w:tcPr>
            <w:tcW w:w="1290"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 Enhancement Surcharge RCW 77.95.090</w:t>
            </w:r>
          </w:p>
        </w:tc>
        <w:tc>
          <w:tcPr>
            <w:tcW w:w="1155" w:type="dxa"/>
            <w:vAlign w:val="top"/>
          </w:tcPr>
          <w:p>
            <w:pPr>
              <w:spacing w:before="0" w:after="0" w:line="408" w:lineRule="exact"/>
              <w:ind w:left="0" w:right="0" w:firstLine="0"/>
              <w:jc w:val="center"/>
            </w:pPr>
            <w:r>
              <w:rPr>
                <w:rFonts w:ascii="Times New Roman" w:hAnsi="Times New Roman"/>
                <w:sz w:val="16"/>
                <w:u w:val="single"/>
              </w:rPr>
              <w:t xml:space="preserve">Rockfish Research Surcharge RCW 77.12.702</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975" w:type="dxa"/>
            <w:vAlign w:val="top"/>
          </w:tcPr>
          <w:p>
            <w:pPr>
              <w:spacing w:before="0" w:after="0" w:line="408" w:lineRule="exact"/>
              <w:ind w:left="0" w:right="0" w:firstLine="0"/>
              <w:jc w:val="center"/>
            </w:pPr>
            <w:r>
              <w:rPr>
                <w:rFonts w:ascii="Times New Roman" w:hAnsi="Times New Roman"/>
                <w:sz w:val="16"/>
              </w:rPr>
              <w:t xml:space="preserve">Governing Section</w:t>
            </w:r>
          </w:p>
        </w:tc>
      </w:tr>
      <w:tr>
        <w:tc>
          <w:tcPr>
            <w:tcW w:w="540" w:type="dxa"/>
            <w:vAlign w:val="bottom"/>
          </w:tcPr>
          <w:p>
            <w:pPr>
              <w:spacing w:before="0" w:after="0" w:line="408" w:lineRule="exact"/>
              <w:ind w:left="0" w:right="0" w:firstLine="0"/>
              <w:jc w:val="left"/>
            </w:pPr>
          </w:p>
        </w:tc>
        <w:tc>
          <w:tcPr>
            <w:tcW w:w="765" w:type="dxa"/>
            <w:vAlign w:val="bottom"/>
          </w:tcPr>
          <w:p>
            <w:pPr>
              <w:spacing w:before="0" w:after="0" w:line="408" w:lineRule="exact"/>
              <w:ind w:left="0" w:right="0" w:firstLine="0"/>
              <w:jc w:val="left"/>
            </w:pPr>
          </w:p>
        </w:tc>
        <w:tc>
          <w:tcPr>
            <w:tcW w:w="108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85"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290" w:type="dxa"/>
            <w:vAlign w:val="top"/>
          </w:tcPr>
          <w:p>
            <w:pPr>
              <w:spacing w:before="0" w:after="0" w:line="408" w:lineRule="exact"/>
              <w:ind w:left="0" w:right="0" w:firstLine="0"/>
              <w:jc w:val="left"/>
            </w:pPr>
          </w:p>
        </w:tc>
        <w:tc>
          <w:tcPr>
            <w:tcW w:w="1155" w:type="dxa"/>
            <w:vAlign w:val="top"/>
          </w:tcPr>
          <w:p>
            <w:pPr>
              <w:spacing w:before="0" w:after="0" w:line="408" w:lineRule="exact"/>
              <w:ind w:left="0" w:right="0" w:firstLine="0"/>
              <w:jc w:val="left"/>
            </w:pPr>
          </w:p>
        </w:tc>
        <w:tc>
          <w:tcPr>
            <w:tcW w:w="800" w:type="dxa"/>
            <w:vAlign w:val="bottom"/>
          </w:tcPr>
          <w:p>
            <w:pPr>
              <w:spacing w:before="0" w:after="0" w:line="408" w:lineRule="exact"/>
              <w:ind w:left="0" w:right="0" w:firstLine="0"/>
              <w:jc w:val="center"/>
            </w:pPr>
          </w:p>
        </w:tc>
        <w:tc>
          <w:tcPr>
            <w:tcW w:w="975" w:type="dxa"/>
            <w:vAlign w:val="bottom"/>
          </w:tcPr>
          <w:p>
            <w:pPr>
              <w:spacing w:before="0" w:after="0" w:line="408" w:lineRule="exact"/>
              <w:ind w:left="0" w:right="0" w:firstLine="0"/>
              <w:jc w:val="left"/>
            </w:pPr>
          </w:p>
        </w:tc>
      </w:tr>
      <w:tr>
        <w:tc>
          <w:tcPr>
            <w:tcW w:w="540" w:type="dxa"/>
            <w:vAlign w:val="top"/>
          </w:tcPr>
          <w:p>
            <w:pPr>
              <w:spacing w:before="0" w:after="0" w:line="408" w:lineRule="exact"/>
              <w:ind w:left="0" w:right="0" w:firstLine="0"/>
              <w:jc w:val="left"/>
            </w:pPr>
            <w:r>
              <w:rPr>
                <w:rFonts w:ascii="Times New Roman" w:hAnsi="Times New Roman"/>
                <w:sz w:val="16"/>
              </w:rPr>
              <w:t xml:space="preserve">(a)</w:t>
            </w:r>
          </w:p>
        </w:tc>
        <w:tc>
          <w:tcPr>
            <w:tcW w:w="765"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$225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975" w:type="dxa"/>
            <w:vAlign w:val="top"/>
          </w:tcPr>
          <w:p>
            <w:pPr>
              <w:spacing w:before="0" w:after="0" w:line="408" w:lineRule="exact"/>
              <w:ind w:left="0" w:right="0" w:firstLine="0"/>
              <w:jc w:val="left"/>
            </w:pPr>
          </w:p>
        </w:tc>
      </w:tr>
      <w:tr>
        <w:tc>
          <w:tcPr>
            <w:tcW w:w="540" w:type="dxa"/>
            <w:vAlign w:val="top"/>
          </w:tcPr>
          <w:p>
            <w:pPr>
              <w:spacing w:before="0" w:after="0" w:line="408" w:lineRule="exact"/>
              <w:ind w:left="0" w:right="0" w:firstLine="0"/>
              <w:jc w:val="left"/>
            </w:pPr>
            <w:r>
              <w:rPr>
                <w:rFonts w:ascii="Times New Roman" w:hAnsi="Times New Roman"/>
                <w:sz w:val="16"/>
              </w:rPr>
              <w:t xml:space="preserve">(b)</w:t>
            </w:r>
          </w:p>
        </w:tc>
        <w:tc>
          <w:tcPr>
            <w:tcW w:w="765"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$380</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$685</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$105</w:t>
            </w:r>
          </w:p>
        </w:tc>
        <w:tc>
          <w:tcPr>
            <w:tcW w:w="975"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540" w:type="dxa"/>
            <w:vAlign w:val="top"/>
          </w:tcPr>
          <w:p>
            <w:pPr>
              <w:spacing w:before="0" w:after="0" w:line="408" w:lineRule="exact"/>
              <w:ind w:left="0" w:right="0" w:firstLine="0"/>
              <w:jc w:val="left"/>
            </w:pPr>
            <w:r>
              <w:rPr>
                <w:rFonts w:ascii="Times New Roman" w:hAnsi="Times New Roman"/>
                <w:sz w:val="16"/>
              </w:rPr>
              <w:t xml:space="preserve">(c)</w:t>
            </w:r>
          </w:p>
        </w:tc>
        <w:tc>
          <w:tcPr>
            <w:tcW w:w="765" w:type="dxa"/>
            <w:vAlign w:val="top"/>
          </w:tcPr>
          <w:p>
            <w:pPr>
              <w:spacing w:before="0" w:after="0" w:line="408" w:lineRule="exact"/>
              <w:ind w:left="0" w:right="0" w:firstLine="0"/>
              <w:jc w:val="left"/>
            </w:pPr>
            <w:r>
              <w:rPr>
                <w:rFonts w:ascii="Times New Roman" w:hAnsi="Times New Roman"/>
                <w:sz w:val="16"/>
              </w:rPr>
              <w:t xml:space="preserve">Salmon angler</w:t>
            </w:r>
          </w:p>
        </w:tc>
        <w:tc>
          <w:tcPr>
            <w:tcW w:w="1080" w:type="dxa"/>
            <w:vAlign w:val="top"/>
          </w:tcPr>
          <w:p>
            <w:pPr>
              <w:spacing w:before="0" w:after="0" w:line="408" w:lineRule="exact"/>
              <w:ind w:left="0" w:right="0" w:firstLine="0"/>
              <w:jc w:val="left"/>
            </w:pPr>
            <w:r>
              <w:rPr>
                <w:rFonts w:ascii="Times New Roman" w:hAnsi="Times New Roman"/>
                <w:sz w:val="16"/>
              </w:rPr>
              <w:t xml:space="preserve">$ 0</w:t>
            </w:r>
          </w:p>
        </w:tc>
        <w:tc>
          <w:tcPr>
            <w:tcW w:w="1185" w:type="dxa"/>
            <w:vAlign w:val="top"/>
          </w:tcPr>
          <w:p>
            <w:pPr>
              <w:spacing w:before="0" w:after="0" w:line="408" w:lineRule="exact"/>
              <w:ind w:left="0" w:right="0" w:firstLine="0"/>
              <w:jc w:val="left"/>
            </w:pPr>
            <w:r>
              <w:rPr>
                <w:rFonts w:ascii="Times New Roman" w:hAnsi="Times New Roman"/>
                <w:sz w:val="16"/>
              </w:rPr>
              <w:t xml:space="preserve">$ 0</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$ 0</w:t>
            </w:r>
          </w:p>
        </w:tc>
        <w:tc>
          <w:tcPr>
            <w:tcW w:w="975"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540" w:type="dxa"/>
            <w:vAlign w:val="top"/>
          </w:tcPr>
          <w:p>
            <w:pPr>
              <w:spacing w:before="0" w:after="0" w:line="408" w:lineRule="exact"/>
              <w:ind w:left="0" w:right="0" w:firstLine="0"/>
              <w:jc w:val="left"/>
            </w:pPr>
            <w:r>
              <w:rPr>
                <w:rFonts w:ascii="Times New Roman" w:hAnsi="Times New Roman"/>
                <w:sz w:val="16"/>
              </w:rPr>
              <w:t xml:space="preserve">(d)</w:t>
            </w:r>
          </w:p>
        </w:tc>
        <w:tc>
          <w:tcPr>
            <w:tcW w:w="765" w:type="dxa"/>
            <w:vAlign w:val="top"/>
          </w:tcPr>
          <w:p>
            <w:pPr>
              <w:spacing w:before="0" w:after="0" w:line="408" w:lineRule="exact"/>
              <w:ind w:left="0" w:right="0" w:firstLine="0"/>
              <w:jc w:val="left"/>
            </w:pPr>
            <w:r>
              <w:rPr>
                <w:rFonts w:ascii="Times New Roman" w:hAnsi="Times New Roman"/>
                <w:sz w:val="16"/>
              </w:rPr>
              <w:t xml:space="preserve">Salmon roe</w:t>
            </w:r>
          </w:p>
        </w:tc>
        <w:tc>
          <w:tcPr>
            <w:tcW w:w="1080" w:type="dxa"/>
            <w:vAlign w:val="top"/>
          </w:tcPr>
          <w:p>
            <w:pPr>
              <w:spacing w:before="0" w:after="0" w:line="408" w:lineRule="exact"/>
              <w:ind w:left="0" w:right="0" w:firstLine="0"/>
              <w:jc w:val="left"/>
            </w:pPr>
            <w:r>
              <w:rPr>
                <w:rFonts w:ascii="Times New Roman" w:hAnsi="Times New Roman"/>
                <w:sz w:val="16"/>
              </w:rPr>
              <w:t xml:space="preserve">$ 95</w:t>
            </w:r>
          </w:p>
        </w:tc>
        <w:tc>
          <w:tcPr>
            <w:tcW w:w="1185" w:type="dxa"/>
            <w:vAlign w:val="top"/>
          </w:tcPr>
          <w:p>
            <w:pPr>
              <w:spacing w:before="0" w:after="0" w:line="408" w:lineRule="exact"/>
              <w:ind w:left="0" w:right="0" w:firstLine="0"/>
              <w:jc w:val="left"/>
            </w:pPr>
            <w:r>
              <w:rPr>
                <w:rFonts w:ascii="Times New Roman" w:hAnsi="Times New Roman"/>
                <w:sz w:val="16"/>
              </w:rPr>
              <w:t xml:space="preserve">$ 95</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975" w:type="dxa"/>
            <w:vAlign w:val="top"/>
          </w:tcPr>
          <w:p>
            <w:pPr>
              <w:spacing w:before="0" w:after="0" w:line="408" w:lineRule="exact"/>
              <w:ind w:left="0" w:right="0" w:firstLine="0"/>
              <w:jc w:val="left"/>
            </w:pPr>
            <w:r>
              <w:rPr>
                <w:rFonts w:ascii="Times New Roman" w:hAnsi="Times New Roman"/>
                <w:sz w:val="16"/>
              </w:rPr>
              <w:t xml:space="preserve">RCW 77.65.350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food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food fish other than salmon, albacore tuna, and shellfish.</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food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w:t>
      </w:r>
      <w:r>
        <w:rPr>
          <w:u w:val="single"/>
        </w:rPr>
        <w:t xml:space="preserve">plus a one hundred twenty dollar commercial anadromous surcharge,</w:t>
      </w:r>
      <w:r>
        <w:rPr/>
        <w:t xml:space="preserv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w:t>
      </w:r>
      <w:r>
        <w:t>((</w:t>
      </w:r>
      <w:r>
        <w:rPr>
          <w:strike/>
        </w:rPr>
        <w:t xml:space="preserve">under RCW 77.95.090</w:t>
      </w:r>
      <w:r>
        <w:t>))</w:t>
      </w:r>
      <w:r>
        <w:rPr/>
        <w:t xml:space="preserve"> are:</w:t>
      </w:r>
    </w:p>
    <w:tbl>
      <w:tblPr>
        <w:tblW w:w="0" w:type="auto"/>
        <w:jc w:val="center"/>
        <w:tcMar>
          <w:tblCellMar>
            <w:top w:w="0" w:type="dxa"/>
            <w:bottom w:w="0" w:type="dxa"/>
          </w:tblCellMar>
        </w:tcMar>
        <w:tcMar>
          <w:tblCellMar>
            <w:left w:w="0" w:type="dxa"/>
            <w:right w:w="0" w:type="dxa"/>
          </w:tblCellMar>
        </w:tcMar>
      </w:tblPr>
      <w:tblGrid>
        <w:gridCol w:w="345"/>
        <w:gridCol w:w="1160"/>
        <w:gridCol w:w="1110"/>
        <w:gridCol w:w="1185"/>
        <w:gridCol w:w="1215"/>
        <w:gridCol w:w="1365"/>
        <w:gridCol w:w="1845"/>
        <w:gridCol w:w="1410"/>
      </w:tblGrid>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License</w:t>
            </w:r>
          </w:p>
        </w:tc>
        <w:tc>
          <w:tcPr>
            <w:gridSpan w:val="2"/>
            <w:tcW w:w="2295" w:type="dxa"/>
            <w:vAlign w:val="top"/>
          </w:tcPr>
          <w:p>
            <w:pPr>
              <w:spacing w:before="0" w:after="0" w:line="408" w:lineRule="exact"/>
              <w:ind w:left="0" w:right="0" w:firstLine="0"/>
              <w:jc w:val="center"/>
            </w:pPr>
            <w:r>
              <w:rPr>
                <w:rFonts w:ascii="Times New Roman" w:hAnsi="Times New Roman"/>
                <w:sz w:val="16"/>
                <w:u w:val="single"/>
              </w:rPr>
              <w:t xml:space="preserve">Annual License Fee</w:t>
            </w:r>
          </w:p>
        </w:tc>
        <w:tc>
          <w:tcPr>
            <w:gridSpan w:val="2"/>
            <w:tcW w:w="2580" w:type="dxa"/>
            <w:vAlign w:val="top"/>
          </w:tcPr>
          <w:p>
            <w:pPr>
              <w:spacing w:before="0" w:after="0" w:line="408" w:lineRule="exact"/>
              <w:ind w:left="0" w:right="0" w:firstLine="0"/>
              <w:jc w:val="center"/>
            </w:pPr>
            <w:r>
              <w:rPr>
                <w:rFonts w:ascii="Times New Roman" w:hAnsi="Times New Roman"/>
                <w:sz w:val="16"/>
                <w:u w:val="single"/>
              </w:rPr>
              <w:t xml:space="preserve">Anadromous Surcharge RCW 77.65. . . (section 3 of this act)</w:t>
            </w:r>
          </w:p>
        </w:tc>
        <w:tc>
          <w:tcPr>
            <w:tcW w:w="1845"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w:t>
            </w:r>
            <w:r>
              <w:rPr>
                <w:rFonts w:ascii="Times New Roman" w:hAnsi="Times New Roman"/>
                <w:sz w:val="16"/>
              </w:rPr>
              <w:t xml:space="preserve"> Surcharge </w:t>
            </w:r>
            <w:r>
              <w:rPr>
                <w:rFonts w:ascii="Times New Roman" w:hAnsi="Times New Roman"/>
                <w:sz w:val="16"/>
                <w:u w:val="single"/>
              </w:rPr>
              <w:t xml:space="preserve">RCW 77.95.090</w:t>
            </w:r>
          </w:p>
        </w:tc>
        <w:tc>
          <w:tcPr>
            <w:tcW w:w="141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45" w:type="dxa"/>
            <w:vAlign w:val="top"/>
          </w:tcPr>
          <w:p>
            <w:pPr>
              <w:spacing w:before="0" w:after="0" w:line="408" w:lineRule="exact"/>
              <w:ind w:left="0" w:right="0" w:firstLine="0"/>
              <w:jc w:val="center"/>
            </w:pPr>
          </w:p>
        </w:tc>
        <w:tc>
          <w:tcPr>
            <w:tcW w:w="1160" w:type="dxa"/>
            <w:vAlign w:val="top"/>
          </w:tcPr>
          <w:p>
            <w:pPr>
              <w:spacing w:before="0" w:after="0" w:line="408" w:lineRule="exact"/>
              <w:ind w:left="0" w:right="0" w:firstLine="0"/>
              <w:jc w:val="center"/>
            </w:pPr>
          </w:p>
        </w:tc>
        <w:tc>
          <w:tcPr>
            <w:tcW w:w="111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185"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1215" w:type="dxa"/>
            <w:vAlign w:val="center"/>
          </w:tcPr>
          <w:p>
            <w:pPr>
              <w:spacing w:before="0" w:after="0" w:line="408" w:lineRule="exact"/>
              <w:ind w:left="0" w:right="0" w:firstLine="0"/>
              <w:jc w:val="center"/>
            </w:pPr>
            <w:r>
              <w:rPr>
                <w:rFonts w:ascii="Times New Roman" w:hAnsi="Times New Roman"/>
                <w:sz w:val="16"/>
                <w:u w:val="single"/>
              </w:rPr>
              <w:t xml:space="preserve">Resident</w:t>
            </w:r>
          </w:p>
        </w:tc>
        <w:tc>
          <w:tcPr>
            <w:tcW w:w="1365" w:type="dxa"/>
            <w:vAlign w:val="center"/>
          </w:tcPr>
          <w:p>
            <w:pPr>
              <w:spacing w:before="0" w:after="0" w:line="408" w:lineRule="exact"/>
              <w:ind w:left="0" w:right="0" w:firstLine="0"/>
              <w:jc w:val="center"/>
            </w:pPr>
            <w:r>
              <w:rPr>
                <w:rFonts w:ascii="Times New Roman" w:hAnsi="Times New Roman"/>
                <w:sz w:val="16"/>
                <w:u w:val="single"/>
              </w:rPr>
              <w:t xml:space="preserve">Nonresident</w:t>
            </w:r>
          </w:p>
        </w:tc>
        <w:tc>
          <w:tcPr>
            <w:tcW w:w="1845" w:type="dxa"/>
            <w:vAlign w:val="top"/>
          </w:tcPr>
          <w:p>
            <w:pPr>
              <w:spacing w:before="0" w:after="0" w:line="408" w:lineRule="exact"/>
              <w:ind w:left="0" w:right="0" w:firstLine="0"/>
              <w:jc w:val="center"/>
            </w:pPr>
          </w:p>
        </w:tc>
        <w:tc>
          <w:tcPr>
            <w:tcW w:w="1410" w:type="dxa"/>
            <w:vAlign w:val="top"/>
          </w:tcPr>
          <w:p>
            <w:pPr>
              <w:spacing w:before="0" w:after="0" w:line="408" w:lineRule="exact"/>
              <w:ind w:left="0" w:right="0" w:firstLine="0"/>
              <w:jc w:val="center"/>
            </w:pPr>
          </w:p>
        </w:tc>
      </w:tr>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10" w:type="dxa"/>
            <w:vAlign w:val="top"/>
          </w:tcPr>
          <w:p>
            <w:pPr>
              <w:spacing w:before="0" w:after="0" w:line="408" w:lineRule="exact"/>
              <w:ind w:left="0" w:right="0" w:firstLine="0"/>
              <w:jc w:val="left"/>
            </w:pPr>
          </w:p>
        </w:tc>
        <w:tc>
          <w:tcPr>
            <w:tcW w:w="1185" w:type="dxa"/>
            <w:vAlign w:val="top"/>
          </w:tcPr>
          <w:p>
            <w:pPr>
              <w:spacing w:before="0" w:after="0" w:line="408" w:lineRule="exact"/>
              <w:ind w:left="0" w:right="0" w:firstLine="0"/>
              <w:jc w:val="left"/>
            </w:pPr>
          </w:p>
        </w:tc>
        <w:tc>
          <w:tcPr>
            <w:tcW w:w="1215" w:type="dxa"/>
            <w:vAlign w:val="top"/>
          </w:tcPr>
          <w:p>
            <w:pPr>
              <w:spacing w:before="0" w:after="0" w:line="408" w:lineRule="exact"/>
              <w:ind w:left="0" w:right="0" w:firstLine="0"/>
              <w:jc w:val="left"/>
            </w:pPr>
          </w:p>
        </w:tc>
        <w:tc>
          <w:tcPr>
            <w:tcW w:w="1365" w:type="dxa"/>
            <w:vAlign w:val="top"/>
          </w:tcPr>
          <w:p>
            <w:pPr>
              <w:spacing w:before="0" w:after="0" w:line="408" w:lineRule="exact"/>
              <w:ind w:left="0" w:right="0" w:firstLine="0"/>
              <w:jc w:val="left"/>
            </w:pPr>
          </w:p>
        </w:tc>
        <w:tc>
          <w:tcPr>
            <w:tcW w:w="1845" w:type="dxa"/>
            <w:vAlign w:val="top"/>
          </w:tcPr>
          <w:p>
            <w:pPr>
              <w:spacing w:before="0" w:after="0" w:line="408" w:lineRule="exact"/>
              <w:ind w:left="0" w:right="0" w:firstLine="0"/>
              <w:jc w:val="left"/>
            </w:pPr>
          </w:p>
        </w:tc>
        <w:tc>
          <w:tcPr>
            <w:tcW w:w="1410" w:type="dxa"/>
            <w:vAlign w:val="top"/>
          </w:tcPr>
          <w:p>
            <w:pPr>
              <w:spacing w:before="0" w:after="0" w:line="408" w:lineRule="exact"/>
              <w:ind w:left="0" w:right="0" w:firstLine="0"/>
              <w:jc w:val="left"/>
            </w:pPr>
          </w:p>
        </w:tc>
      </w:tr>
      <w:tr>
        <w:tc>
          <w:tcPr>
            <w:tcW w:w="345" w:type="dxa"/>
            <w:vAlign w:val="top"/>
          </w:tcPr>
          <w:p>
            <w:pPr>
              <w:spacing w:before="0" w:after="0" w:line="408" w:lineRule="exact"/>
              <w:ind w:left="0" w:right="0" w:firstLine="0"/>
              <w:jc w:val="left"/>
            </w:pPr>
            <w:r>
              <w:rPr>
                <w:rFonts w:ascii="Times New Roman" w:hAnsi="Times New Roman"/>
                <w:sz w:val="16"/>
              </w:rPr>
              <w:t xml:space="preserve">(a)</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(b)</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(c)</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(d)</w:t>
            </w:r>
          </w:p>
        </w:tc>
        <w:tc>
          <w:tcPr>
            <w:tcW w:w="11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1110" w:type="dxa"/>
            <w:vAlign w:val="top"/>
          </w:tcPr>
          <w:p>
            <w:pPr>
              <w:spacing w:before="0" w:after="0" w:line="408" w:lineRule="exact"/>
              <w:ind w:left="0" w:right="0" w:firstLine="0"/>
              <w:jc w:val="center"/>
            </w:pPr>
            <w:r>
              <w:rPr>
                <w:rFonts w:ascii="Times New Roman" w:hAnsi="Times New Roman"/>
                <w:sz w:val="16"/>
              </w:rPr>
              <w:t xml:space="preserve">$530</w:t>
            </w:r>
          </w:p>
        </w:tc>
        <w:tc>
          <w:tcPr>
            <w:tcW w:w="1185" w:type="dxa"/>
            <w:vAlign w:val="top"/>
          </w:tcPr>
          <w:p>
            <w:pPr>
              <w:spacing w:before="0" w:after="0" w:line="408" w:lineRule="exact"/>
              <w:ind w:left="0" w:right="0" w:firstLine="0"/>
              <w:jc w:val="center"/>
            </w:pPr>
            <w:r>
              <w:rPr>
                <w:rFonts w:ascii="Times New Roman" w:hAnsi="Times New Roman"/>
                <w:sz w:val="16"/>
              </w:rPr>
              <w:t xml:space="preserve">$985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$365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$365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(e)</w:t>
            </w:r>
          </w:p>
        </w:tc>
        <w:tc>
          <w:tcPr>
            <w:tcW w:w="11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(f)</w:t>
            </w:r>
          </w:p>
        </w:tc>
        <w:tc>
          <w:tcPr>
            <w:tcW w:w="1160" w:type="dxa"/>
            <w:vAlign w:val="top"/>
          </w:tcPr>
          <w:p>
            <w:pPr>
              <w:spacing w:before="0" w:after="0" w:line="408" w:lineRule="exact"/>
              <w:ind w:left="0" w:right="0" w:firstLine="0"/>
              <w:jc w:val="left"/>
            </w:pPr>
            <w:r>
              <w:rPr>
                <w:rFonts w:ascii="Times New Roman" w:hAnsi="Times New Roman"/>
                <w:sz w:val="16"/>
              </w:rPr>
              <w:t xml:space="preserve">Salmon troll</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w:t>
      </w:r>
      <w:r>
        <w:t>((</w:t>
      </w:r>
      <w:r>
        <w:rPr>
          <w:strike/>
        </w:rPr>
        <w:t xml:space="preserve">plus</w:t>
      </w:r>
      <w:r>
        <w:t>))</w:t>
      </w:r>
      <w:r>
        <w:rPr/>
        <w:t xml:space="preserve"> a one hundred five dollar application fee</w:t>
      </w:r>
      <w:r>
        <w:rPr>
          <w:u w:val="single"/>
        </w:rPr>
        <w:t xml:space="preserve">, plus a one hundred dollar commercial anadromous surcharge</w:t>
      </w:r>
      <w:r>
        <w:rPr/>
        <w:t xml:space="preserv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w:t>
      </w:r>
      <w:r>
        <w:t>((</w:t>
      </w:r>
      <w:r>
        <w:rPr>
          <w:strike/>
        </w:rPr>
        <w:t xml:space="preserve">As used in this section, "deliver" and "delivery" mean arrival at a place or port, and include arrivals from offshore waters to waters within the state and arrivals ashore from offshore waters.</w:t>
      </w:r>
      <w:r>
        <w:t>))</w:t>
      </w:r>
    </w:p>
    <w:p>
      <w:pPr>
        <w:spacing w:before="0" w:after="0" w:line="408" w:lineRule="exact"/>
        <w:ind w:left="0" w:right="0" w:firstLine="576"/>
        <w:jc w:val="left"/>
      </w:pPr>
      <w:r>
        <w:rPr>
          <w:u w:val="single"/>
        </w:rPr>
        <w:t xml:space="preserve">(2)(a)</w:t>
      </w:r>
      <w:r>
        <w:rPr/>
        <w:t xml:space="preserve"> The annual fee for a salmon delivery license is three hundred eighty dollars for residents and six hundred eighty-five dollars for nonresidents.</w:t>
      </w:r>
    </w:p>
    <w:p>
      <w:pPr>
        <w:spacing w:before="0" w:after="0" w:line="408" w:lineRule="exact"/>
        <w:ind w:left="0" w:right="0" w:firstLine="576"/>
        <w:jc w:val="left"/>
      </w:pPr>
      <w:r>
        <w:rPr>
          <w:u w:val="single"/>
        </w:rPr>
        <w:t xml:space="preserve">(b)</w:t>
      </w:r>
      <w:r>
        <w:rPr/>
        <w:t xml:space="preserve"> The application fee for a salmon delivery license is one hundred five dollars.</w:t>
      </w:r>
    </w:p>
    <w:p>
      <w:pPr>
        <w:spacing w:before="0" w:after="0" w:line="408" w:lineRule="exact"/>
        <w:ind w:left="0" w:right="0" w:firstLine="576"/>
        <w:jc w:val="left"/>
      </w:pPr>
      <w:r>
        <w:rPr>
          <w:u w:val="single"/>
        </w:rPr>
        <w:t xml:space="preserve">(c)</w:t>
      </w:r>
      <w:r>
        <w:rPr/>
        <w:t xml:space="preserve"> The annual surcharge under RCW 77.95.090 is one hundred dollars for each license.</w:t>
      </w:r>
    </w:p>
    <w:p>
      <w:pPr>
        <w:spacing w:before="0" w:after="0" w:line="408" w:lineRule="exact"/>
        <w:ind w:left="0" w:right="0" w:firstLine="576"/>
        <w:jc w:val="left"/>
      </w:pPr>
      <w:r>
        <w:rPr>
          <w:u w:val="single"/>
        </w:rPr>
        <w:t xml:space="preserve">(d) The annual commercial anadromous surcharge under section 3 of this act is two hundred ninety dollars for a resident or nonresident.</w:t>
      </w:r>
    </w:p>
    <w:p>
      <w:pPr>
        <w:spacing w:before="0" w:after="0" w:line="408" w:lineRule="exact"/>
        <w:ind w:left="0" w:right="0" w:firstLine="576"/>
        <w:jc w:val="left"/>
      </w:pPr>
      <w:r>
        <w:rPr>
          <w:u w:val="single"/>
        </w:rPr>
        <w:t xml:space="preserve">(e)</w:t>
      </w:r>
      <w:r>
        <w:rPr/>
        <w:t xml:space="preserv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t>((</w:t>
      </w:r>
      <w:r>
        <w:rPr>
          <w:strike/>
        </w:rPr>
        <w:t xml:space="preserve">(2)</w:t>
      </w:r>
      <w:r>
        <w:t>))</w:t>
      </w:r>
      <w:r>
        <w:rPr>
          <w:u w:val="single"/>
        </w:rPr>
        <w:t xml:space="preserve">(3)</w:t>
      </w:r>
      <w:r>
        <w:rPr/>
        <w:t xml:space="preserve"> Only a person who meets the qualifications established in RCW 77.70.090 may hold a salmon delivery license issued under this section.</w:t>
      </w:r>
    </w:p>
    <w:p>
      <w:pPr>
        <w:spacing w:before="0" w:after="0" w:line="408" w:lineRule="exact"/>
        <w:ind w:left="0" w:right="0" w:firstLine="576"/>
        <w:jc w:val="left"/>
      </w:pPr>
      <w:r>
        <w:t>((</w:t>
      </w:r>
      <w:r>
        <w:rPr>
          <w:strike/>
        </w:rPr>
        <w:t xml:space="preserve">(3)</w:t>
      </w:r>
      <w:r>
        <w:t>))</w:t>
      </w:r>
      <w:r>
        <w:rPr>
          <w:u w:val="single"/>
        </w:rPr>
        <w:t xml:space="preserve">(4)</w:t>
      </w:r>
      <w:r>
        <w:rPr/>
        <w:t xml:space="preserve"> A salmon delivery license authorizes no taking of salmon or other food fish or shellfish from the waters of the state.</w:t>
      </w:r>
    </w:p>
    <w:p>
      <w:pPr>
        <w:spacing w:before="0" w:after="0" w:line="408" w:lineRule="exact"/>
        <w:ind w:left="0" w:right="0" w:firstLine="576"/>
        <w:jc w:val="left"/>
      </w:pPr>
      <w:r>
        <w:t>((</w:t>
      </w:r>
      <w:r>
        <w:rPr>
          <w:strike/>
        </w:rPr>
        <w:t xml:space="preserve">(4)</w:t>
      </w:r>
      <w:r>
        <w:t>))</w:t>
      </w:r>
      <w:r>
        <w:rPr>
          <w:u w:val="single"/>
        </w:rPr>
        <w:t xml:space="preserve">(5)</w:t>
      </w:r>
      <w:r>
        <w:rPr/>
        <w:t xml:space="preserve">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0" w:after="0" w:line="408" w:lineRule="exact"/>
        <w:ind w:left="0" w:right="0" w:firstLine="576"/>
        <w:jc w:val="left"/>
      </w:pPr>
      <w:r>
        <w:rPr>
          <w:u w:val="single"/>
        </w:rPr>
        <w:t xml:space="preserve">(6) As used in this section, "deliver" and "delivery" mean arrival at a place or port and include arrivals from offshore waters to waters within the state and arrivals ashore from offshore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u w:val="single"/>
        </w:rPr>
        <w:t xml:space="preserve">(1)</w:t>
      </w:r>
      <w:r>
        <w:rPr/>
        <w:t xml:space="preserve"> A person who does not qualify for a license under RCW 77.70.090 shall obtain a nontransferable emergency salmon delivery license to make one delivery from a commercial fishing vessel of salmon taken for commercial purposes in offshore waters. </w:t>
      </w:r>
      <w:r>
        <w:t>((</w:t>
      </w:r>
      <w:r>
        <w:rPr>
          <w:strike/>
        </w:rPr>
        <w:t xml:space="preserve">As used in this section, "delivery" means arrival at a place or port, and include arrivals from offshore waters to waters within the state and arrivals ashore from offshore waters.</w:t>
      </w:r>
      <w:r>
        <w:t>))</w:t>
      </w:r>
      <w:r>
        <w:rPr/>
        <w:t xml:space="preserve"> The director shall not issue an emergency salmon delivery license unless, as determined by the director, a bona fide emergency exists.</w:t>
      </w:r>
    </w:p>
    <w:p>
      <w:pPr>
        <w:spacing w:before="0" w:after="0" w:line="408" w:lineRule="exact"/>
        <w:ind w:left="0" w:right="0" w:firstLine="576"/>
        <w:jc w:val="left"/>
      </w:pPr>
      <w:r>
        <w:rPr>
          <w:u w:val="single"/>
        </w:rPr>
        <w:t xml:space="preserve">(2)(a)</w:t>
      </w:r>
      <w:r>
        <w:rPr/>
        <w:t xml:space="preserve"> The license fee </w:t>
      </w:r>
      <w:r>
        <w:rPr>
          <w:u w:val="single"/>
        </w:rPr>
        <w:t xml:space="preserve">for a nontransferable emergency salmon delivery license</w:t>
      </w:r>
      <w:r>
        <w:rPr/>
        <w:t xml:space="preserve"> is two hundred twenty-five dollars for residents and four hundred seventy-five dollars for nonresidents.</w:t>
      </w:r>
    </w:p>
    <w:p>
      <w:pPr>
        <w:spacing w:before="0" w:after="0" w:line="408" w:lineRule="exact"/>
        <w:ind w:left="0" w:right="0" w:firstLine="576"/>
        <w:jc w:val="left"/>
      </w:pPr>
      <w:r>
        <w:rPr>
          <w:u w:val="single"/>
        </w:rPr>
        <w:t xml:space="preserve">(b)</w:t>
      </w:r>
      <w:r>
        <w:rPr/>
        <w:t xml:space="preserve"> The application fee </w:t>
      </w:r>
      <w:r>
        <w:rPr>
          <w:u w:val="single"/>
        </w:rPr>
        <w:t xml:space="preserve">for a nontransferable emergency salmon delivery license</w:t>
      </w:r>
      <w:r>
        <w:rPr/>
        <w:t xml:space="preserve"> is one hundred five dollars.</w:t>
      </w:r>
    </w:p>
    <w:p>
      <w:pPr>
        <w:spacing w:before="0" w:after="0" w:line="408" w:lineRule="exact"/>
        <w:ind w:left="0" w:right="0" w:firstLine="576"/>
        <w:jc w:val="left"/>
      </w:pPr>
      <w:r>
        <w:rPr>
          <w:u w:val="single"/>
        </w:rPr>
        <w:t xml:space="preserve">(c) The annual commercial anadromous surcharge under section 3 of this act for a nontransferable emergency salmon delivery license is one hundred sixty-five dollars for a resident or nonresident.</w:t>
      </w:r>
    </w:p>
    <w:p>
      <w:pPr>
        <w:spacing w:before="0" w:after="0" w:line="408" w:lineRule="exact"/>
        <w:ind w:left="0" w:right="0" w:firstLine="576"/>
        <w:jc w:val="left"/>
      </w:pPr>
      <w:r>
        <w:rPr>
          <w:u w:val="single"/>
        </w:rPr>
        <w:t xml:space="preserve">(3)</w:t>
      </w:r>
      <w:r>
        <w:rPr/>
        <w:t xml:space="preserve">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0" w:after="0" w:line="408" w:lineRule="exact"/>
        <w:ind w:left="0" w:right="0" w:firstLine="576"/>
        <w:jc w:val="left"/>
      </w:pPr>
      <w:r>
        <w:rPr>
          <w:u w:val="single"/>
        </w:rPr>
        <w:t xml:space="preserve">(4) As used in this section, "delivery" means arrival at a place or port and includes arrivals from offshore waters to waters within the state and arrivals ashore from offshore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wholesale fish dealer's license is required for:</w:t>
      </w:r>
    </w:p>
    <w:p>
      <w:pPr>
        <w:spacing w:before="0" w:after="0" w:line="408" w:lineRule="exact"/>
        <w:ind w:left="0" w:right="0" w:firstLine="576"/>
        <w:jc w:val="left"/>
      </w:pPr>
      <w:r>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t xml:space="preserve">(e) A business engaging a fish buyer as defined under RCW 77.65.340.</w:t>
      </w:r>
    </w:p>
    <w:p>
      <w:pPr>
        <w:spacing w:before="0" w:after="0" w:line="408" w:lineRule="exact"/>
        <w:ind w:left="0" w:right="0" w:firstLine="576"/>
        <w:jc w:val="left"/>
      </w:pPr>
      <w:r>
        <w:rPr/>
        <w:t xml:space="preserve">(2)</w:t>
      </w:r>
      <w:r>
        <w:rPr>
          <w:u w:val="single"/>
        </w:rPr>
        <w:t xml:space="preserve">(a)</w:t>
      </w:r>
      <w:r>
        <w:rPr/>
        <w:t xml:space="preserve"> The annual license fee for a wholesale dealer is two hundred fifty dollars. The application fee is one hundred five dollars.</w:t>
      </w:r>
    </w:p>
    <w:p>
      <w:pPr>
        <w:spacing w:before="0" w:after="0" w:line="408" w:lineRule="exact"/>
        <w:ind w:left="0" w:right="0" w:firstLine="576"/>
        <w:jc w:val="left"/>
      </w:pPr>
      <w:r>
        <w:rPr>
          <w:u w:val="single"/>
        </w:rPr>
        <w:t xml:space="preserve">(b) The annual commercial anadromous surcharge under section 3 of this act for a wholesale dealer is one hundred seventy-five dollars.</w:t>
      </w:r>
    </w:p>
    <w:p>
      <w:pPr>
        <w:spacing w:before="0" w:after="0" w:line="408" w:lineRule="exact"/>
        <w:ind w:left="0" w:right="0" w:firstLine="576"/>
        <w:jc w:val="left"/>
      </w:pPr>
      <w:r>
        <w:rPr>
          <w:u w:val="single"/>
        </w:rPr>
        <w:t xml:space="preserve">(3)</w:t>
      </w:r>
      <w:r>
        <w:rPr/>
        <w:t xml:space="preserve"> 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t xml:space="preserve">(2)</w:t>
      </w:r>
      <w:r>
        <w:rPr>
          <w:u w:val="single"/>
        </w:rPr>
        <w:t xml:space="preserve">(a)</w:t>
      </w:r>
      <w:r>
        <w:rPr/>
        <w:t xml:space="preserve"> The annual fee for a fish buyer's license is ninety-five dollars.</w:t>
      </w:r>
    </w:p>
    <w:p>
      <w:pPr>
        <w:spacing w:before="0" w:after="0" w:line="408" w:lineRule="exact"/>
        <w:ind w:left="0" w:right="0" w:firstLine="576"/>
        <w:jc w:val="left"/>
      </w:pPr>
      <w:r>
        <w:rPr>
          <w:u w:val="single"/>
        </w:rPr>
        <w:t xml:space="preserve">(b)</w:t>
      </w:r>
      <w:r>
        <w:rPr/>
        <w:t xml:space="preserve"> The application fee </w:t>
      </w:r>
      <w:r>
        <w:rPr>
          <w:u w:val="single"/>
        </w:rPr>
        <w:t xml:space="preserve">for a fish buyer's license</w:t>
      </w:r>
      <w:r>
        <w:rPr/>
        <w:t xml:space="preserve"> is one hundred five dollars.</w:t>
      </w:r>
    </w:p>
    <w:p>
      <w:pPr>
        <w:spacing w:before="0" w:after="0" w:line="408" w:lineRule="exact"/>
        <w:ind w:left="0" w:right="0" w:firstLine="576"/>
        <w:jc w:val="left"/>
      </w:pPr>
      <w:r>
        <w:rPr>
          <w:u w:val="single"/>
        </w:rPr>
        <w:t xml:space="preserve">(c) The annual commercial anadromous surcharge under section 3 of this act for a fish buyer's license is one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w:t>
      </w:r>
      <w:r>
        <w:t>((</w:t>
      </w:r>
      <w:r>
        <w:rPr>
          <w:strike/>
        </w:rPr>
        <w:t xml:space="preserve">and</w:t>
      </w:r>
      <w:r>
        <w:t>))</w:t>
      </w:r>
      <w:r>
        <w:rPr>
          <w:u w:val="single"/>
        </w:rPr>
        <w:t xml:space="preserve">,</w:t>
      </w:r>
      <w:r>
        <w:rPr/>
        <w:t xml:space="preserve"> their annual fees</w:t>
      </w:r>
      <w:r>
        <w:rPr>
          <w:u w:val="single"/>
        </w:rPr>
        <w:t xml:space="preserve">, and surcharges</w:t>
      </w:r>
      <w:r>
        <w:rPr/>
        <w:t xml:space="preserve"> are:</w:t>
      </w:r>
    </w:p>
    <w:tbl>
      <w:tblPr>
        <w:tblW w:w="0" w:type="auto"/>
        <w:jc w:val="center"/>
        <w:tcMar>
          <w:tblCellMar>
            <w:top w:w="0" w:type="dxa"/>
            <w:bottom w:w="0" w:type="dxa"/>
          </w:tblCellMar>
        </w:tcMar>
        <w:tcMar>
          <w:tblCellMar>
            <w:left w:w="0" w:type="dxa"/>
            <w:right w:w="0" w:type="dxa"/>
          </w:tblCellMar>
        </w:tcMar>
      </w:tblPr>
      <w:tblGrid>
        <w:gridCol w:w="1080"/>
        <w:gridCol w:w="1440"/>
        <w:gridCol w:w="1180"/>
        <w:gridCol w:w="1300"/>
        <w:gridCol w:w="1100"/>
        <w:gridCol w:w="1000"/>
        <w:gridCol w:w="1000"/>
        <w:gridCol w:w="1000"/>
        <w:gridCol w:w="1060"/>
      </w:tblGrid>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p>
        </w:tc>
        <w:tc>
          <w:tcPr>
            <w:tcW w:w="1180" w:type="dxa"/>
            <w:vAlign w:val="top"/>
          </w:tcPr>
          <w:p>
            <w:pPr>
              <w:spacing w:before="0" w:after="0" w:line="408" w:lineRule="exact"/>
              <w:ind w:left="0" w:right="0" w:firstLine="0"/>
              <w:jc w:val="left"/>
            </w:pPr>
          </w:p>
        </w:tc>
        <w:tc>
          <w:tcPr>
            <w:tcW w:w="13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center"/>
            </w:pPr>
            <w:r>
              <w:rPr>
                <w:rFonts w:ascii="Times New Roman" w:hAnsi="Times New Roman"/>
                <w:sz w:val="16"/>
              </w:rPr>
              <w:t xml:space="preserve">Personal License</w:t>
            </w:r>
          </w:p>
        </w:tc>
        <w:tc>
          <w:tcPr>
            <w:gridSpan w:val="2"/>
            <w:tcW w:w="2620"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tc>
        <w:tc>
          <w:tcPr>
            <w:gridSpan w:val="2"/>
            <w:tcW w:w="240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3 of this act)</w:t>
            </w:r>
          </w:p>
        </w:tc>
        <w:tc>
          <w:tcPr>
            <w:gridSpan w:val="2"/>
            <w:tcW w:w="2000" w:type="dxa"/>
            <w:vAlign w:val="top"/>
          </w:tcPr>
          <w:p>
            <w:pPr>
              <w:spacing w:before="0" w:after="0" w:line="408" w:lineRule="exact"/>
              <w:ind w:left="0" w:right="0" w:firstLine="0"/>
              <w:jc w:val="left"/>
            </w:pPr>
            <w:r>
              <w:rPr>
                <w:rFonts w:ascii="Times New Roman" w:hAnsi="Times New Roman"/>
                <w:sz w:val="16"/>
                <w:u w:val="single"/>
              </w:rPr>
              <w:t xml:space="preserve">Regional Fisheries Enhancement Group Enhancement Surcharge RCW 77.95.090</w:t>
            </w:r>
          </w:p>
        </w:tc>
        <w:tc>
          <w:tcPr>
            <w:tcW w:w="1000" w:type="dxa"/>
            <w:vAlign w:val="top"/>
          </w:tcPr>
          <w:p>
            <w:pPr>
              <w:spacing w:before="0" w:after="0" w:line="408" w:lineRule="exact"/>
              <w:ind w:left="0" w:right="0" w:firstLine="0"/>
              <w:jc w:val="center"/>
            </w:pPr>
            <w:r>
              <w:rPr>
                <w:rFonts w:ascii="Times New Roman" w:hAnsi="Times New Roman"/>
                <w:sz w:val="16"/>
              </w:rPr>
              <w:t xml:space="preserve">Application</w:t>
            </w:r>
          </w:p>
          <w:p>
            <w:pPr>
              <w:spacing w:before="0" w:after="0" w:line="408" w:lineRule="exact"/>
              <w:ind w:left="0" w:right="0" w:firstLine="0"/>
              <w:jc w:val="center"/>
            </w:pPr>
            <w:r>
              <w:rPr>
                <w:rFonts w:ascii="Times New Roman" w:hAnsi="Times New Roman"/>
                <w:sz w:val="16"/>
              </w:rPr>
              <w:t xml:space="preserve">Fee</w:t>
            </w:r>
          </w:p>
        </w:tc>
        <w:tc>
          <w:tcPr>
            <w:tcW w:w="1060" w:type="dxa"/>
            <w:vAlign w:val="top"/>
          </w:tcPr>
          <w:p>
            <w:pPr>
              <w:spacing w:before="0" w:after="0" w:line="408" w:lineRule="exact"/>
              <w:ind w:left="0" w:right="0" w:firstLine="0"/>
              <w:jc w:val="center"/>
            </w:pPr>
            <w:r>
              <w:rPr>
                <w:rFonts w:ascii="Times New Roman" w:hAnsi="Times New Roman"/>
                <w:sz w:val="16"/>
              </w:rPr>
              <w:t xml:space="preserve">Governing </w:t>
            </w:r>
          </w:p>
          <w:p>
            <w:pPr>
              <w:spacing w:before="0" w:after="0" w:line="408" w:lineRule="exact"/>
              <w:ind w:left="0" w:right="0" w:firstLine="0"/>
              <w:jc w:val="center"/>
            </w:pPr>
            <w:r>
              <w:rPr>
                <w:rFonts w:ascii="Times New Roman" w:hAnsi="Times New Roman"/>
                <w:sz w:val="16"/>
              </w:rPr>
              <w:t xml:space="preserve">Section</w:t>
            </w:r>
          </w:p>
        </w:tc>
      </w:tr>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16"/>
              </w:rPr>
              <w:t xml:space="preserve">Resident</w:t>
            </w:r>
          </w:p>
        </w:tc>
        <w:tc>
          <w:tcPr>
            <w:tcW w:w="118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left"/>
            </w:pPr>
            <w:r>
              <w:rPr>
                <w:rFonts w:ascii="Times New Roman" w:hAnsi="Times New Roman"/>
                <w:sz w:val="16"/>
              </w:rPr>
              <w:t xml:space="preserve">(1) Alternate Operator</w:t>
            </w:r>
          </w:p>
        </w:tc>
        <w:tc>
          <w:tcPr>
            <w:tcW w:w="1440" w:type="dxa"/>
            <w:vAlign w:val="top"/>
          </w:tcPr>
          <w:p>
            <w:pPr>
              <w:spacing w:before="0" w:after="0" w:line="408" w:lineRule="exact"/>
              <w:ind w:left="0" w:right="0" w:firstLine="0"/>
              <w:jc w:val="center"/>
            </w:pPr>
            <w:r>
              <w:rPr>
                <w:rFonts w:ascii="Times New Roman" w:hAnsi="Times New Roman"/>
                <w:sz w:val="16"/>
              </w:rPr>
              <w:t xml:space="preserve">$35</w:t>
            </w:r>
          </w:p>
        </w:tc>
        <w:tc>
          <w:tcPr>
            <w:tcW w:w="1180" w:type="dxa"/>
            <w:vAlign w:val="top"/>
          </w:tcPr>
          <w:p>
            <w:pPr>
              <w:spacing w:before="0" w:after="0" w:line="408" w:lineRule="exact"/>
              <w:ind w:left="0" w:right="0" w:firstLine="0"/>
              <w:jc w:val="center"/>
            </w:pPr>
            <w:r>
              <w:rPr>
                <w:rFonts w:ascii="Times New Roman" w:hAnsi="Times New Roman"/>
                <w:sz w:val="16"/>
              </w:rPr>
              <w:t xml:space="preserve">$35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77.65.130</w:t>
            </w:r>
          </w:p>
        </w:tc>
      </w:tr>
      <w:tr>
        <w:tc>
          <w:tcPr>
            <w:tcW w:w="108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1440" w:type="dxa"/>
            <w:vAlign w:val="top"/>
          </w:tcPr>
          <w:p>
            <w:pPr>
              <w:spacing w:before="0" w:after="0" w:line="408" w:lineRule="exact"/>
              <w:ind w:left="0" w:right="0" w:firstLine="0"/>
              <w:jc w:val="center"/>
            </w:pPr>
            <w:r>
              <w:rPr>
                <w:rFonts w:ascii="Times New Roman" w:hAnsi="Times New Roman"/>
                <w:sz w:val="16"/>
              </w:rPr>
              <w:t xml:space="preserve">$185</w:t>
            </w:r>
          </w:p>
        </w:tc>
        <w:tc>
          <w:tcPr>
            <w:tcW w:w="1180" w:type="dxa"/>
            <w:vAlign w:val="top"/>
          </w:tcPr>
          <w:p>
            <w:pPr>
              <w:spacing w:before="0" w:after="0" w:line="408" w:lineRule="exact"/>
              <w:ind w:left="0" w:right="0" w:firstLine="0"/>
              <w:jc w:val="center"/>
            </w:pPr>
            <w:r>
              <w:rPr>
                <w:rFonts w:ascii="Times New Roman" w:hAnsi="Times New Roman"/>
                <w:sz w:val="16"/>
              </w:rPr>
              <w:t xml:space="preserve">$295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77.65.410</w:t>
            </w:r>
          </w:p>
        </w:tc>
      </w:tr>
      <w:tr>
        <w:tc>
          <w:tcPr>
            <w:tcW w:w="108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1440" w:type="dxa"/>
            <w:vAlign w:val="top"/>
          </w:tcPr>
          <w:p>
            <w:pPr>
              <w:spacing w:before="0" w:after="0" w:line="408" w:lineRule="exact"/>
              <w:ind w:left="0" w:right="0" w:firstLine="0"/>
              <w:jc w:val="center"/>
            </w:pPr>
            <w:r>
              <w:rPr>
                <w:rFonts w:ascii="Times New Roman" w:hAnsi="Times New Roman"/>
                <w:sz w:val="16"/>
              </w:rPr>
              <w:t xml:space="preserve">$130</w:t>
            </w:r>
          </w:p>
          <w:p>
            <w:pPr>
              <w:spacing w:before="0" w:after="0" w:line="408" w:lineRule="exact"/>
              <w:ind w:left="0" w:right="0" w:firstLine="0"/>
              <w:jc w:val="center"/>
            </w:pPr>
            <w:r>
              <w:t>((</w:t>
            </w:r>
            <w:r>
              <w:rPr>
                <w:rFonts w:ascii="Times New Roman" w:hAnsi="Times New Roman"/>
                <w:strike/>
                <w:sz w:val="16"/>
              </w:rPr>
              <w:t xml:space="preserve">(plus $20)</w:t>
            </w:r>
            <w:r>
              <w:t>))</w:t>
            </w:r>
          </w:p>
        </w:tc>
        <w:tc>
          <w:tcPr>
            <w:tcW w:w="1180" w:type="dxa"/>
            <w:vAlign w:val="top"/>
          </w:tcPr>
          <w:p>
            <w:pPr>
              <w:spacing w:before="0" w:after="0" w:line="408" w:lineRule="exact"/>
              <w:ind w:left="0" w:right="0" w:firstLine="0"/>
              <w:jc w:val="center"/>
            </w:pPr>
            <w:r>
              <w:rPr>
                <w:rFonts w:ascii="Times New Roman" w:hAnsi="Times New Roman"/>
                <w:sz w:val="16"/>
              </w:rPr>
              <w:t xml:space="preserve">$630</w:t>
            </w:r>
          </w:p>
          <w:p>
            <w:pPr>
              <w:spacing w:before="0" w:after="0" w:line="408" w:lineRule="exact"/>
              <w:ind w:left="0" w:right="0" w:firstLine="0"/>
              <w:jc w:val="center"/>
            </w:pPr>
            <w:r>
              <w:t>((</w:t>
            </w:r>
            <w:r>
              <w:rPr>
                <w:rFonts w:ascii="Times New Roman" w:hAnsi="Times New Roman"/>
                <w:strike/>
                <w:sz w:val="16"/>
              </w:rPr>
              <w:t xml:space="preserve">(plus $100)</w:t>
            </w:r>
            <w:r>
              <w: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$20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77.65.370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 </w:t>
      </w:r>
      <w:r>
        <w:rPr>
          <w:u w:val="single"/>
        </w:rPr>
        <w:t xml:space="preserve">The annual commercial anadromous surcharge under section 3 of this act is one hundred twenty-five dollars for a resident or nonresident.</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department must establish and administer a direct retail endorsement to serve as a single license that permits a Washington license holder or alternate operator to commercially harvest retail-eligible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pPr>
        <w:spacing w:before="0" w:after="0" w:line="408" w:lineRule="exact"/>
        <w:ind w:left="0" w:right="0" w:firstLine="576"/>
        <w:jc w:val="left"/>
      </w:pPr>
      <w:r>
        <w:rPr/>
        <w:t xml:space="preserve">(2)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pPr>
        <w:spacing w:before="0" w:after="0" w:line="408" w:lineRule="exact"/>
        <w:ind w:left="0" w:right="0" w:firstLine="576"/>
        <w:jc w:val="left"/>
      </w:pPr>
      <w:r>
        <w:rPr/>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pPr>
        <w:spacing w:before="0" w:after="0" w:line="408" w:lineRule="exact"/>
        <w:ind w:left="0" w:right="0" w:firstLine="576"/>
        <w:jc w:val="left"/>
      </w:pPr>
      <w:r>
        <w:rPr/>
        <w:t xml:space="preserve">(4)</w:t>
      </w:r>
      <w:r>
        <w:rPr>
          <w:u w:val="single"/>
        </w:rPr>
        <w:t xml:space="preserve">(a)</w:t>
      </w:r>
      <w:r>
        <w:rPr/>
        <w:t xml:space="preserve">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pPr>
        <w:spacing w:before="0" w:after="0" w:line="408" w:lineRule="exact"/>
        <w:ind w:left="0" w:right="0" w:firstLine="576"/>
        <w:jc w:val="left"/>
      </w:pPr>
      <w:r>
        <w:rPr>
          <w:u w:val="single"/>
        </w:rPr>
        <w:t xml:space="preserve">(b) In addition to an annual fee, t</w:t>
      </w:r>
      <w:r>
        <w:rPr/>
        <w:t xml:space="preserve">he application fee is one hundred five dollars </w:t>
      </w:r>
      <w:r>
        <w:rPr>
          <w:u w:val="single"/>
        </w:rPr>
        <w:t xml:space="preserve">and the annual commercial anadromous surcharge under section 3 of this act is seventy-five dollars</w:t>
      </w:r>
      <w:r>
        <w:rPr/>
        <w:t xml:space="preserve">.</w:t>
      </w:r>
    </w:p>
    <w:p>
      <w:pPr>
        <w:spacing w:before="0" w:after="0" w:line="408" w:lineRule="exact"/>
        <w:ind w:left="0" w:right="0" w:firstLine="576"/>
        <w:jc w:val="left"/>
      </w:pPr>
      <w:r>
        <w:rPr/>
        <w:t xml:space="preserve">(5)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pPr>
        <w:spacing w:before="0" w:after="0" w:line="408" w:lineRule="exact"/>
        <w:ind w:left="0" w:right="0" w:firstLine="576"/>
        <w:jc w:val="left"/>
      </w:pPr>
      <w:r>
        <w:rPr/>
        <w:t xml:space="preserve">(6)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t xml:space="preserve">(7) The direct retail endorsement is to be held by a natural person and is not transferable or assignable. If the endorsed license is transferred, the direct retail endorsement immediately becomes void, and the transferor is not eligible for a full or prorated reimbursement of the annual fee paid for the direct retail endorsement. Upon becoming void, the holder of a direct retail endorsement must surrender the physical endorsement to the department.</w:t>
      </w:r>
    </w:p>
    <w:p>
      <w:pPr>
        <w:spacing w:before="0" w:after="0" w:line="408" w:lineRule="exact"/>
        <w:ind w:left="0" w:right="0" w:firstLine="576"/>
        <w:jc w:val="left"/>
      </w:pPr>
      <w:r>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t xml:space="preserve">(9)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pPr>
        <w:spacing w:before="0" w:after="0" w:line="408" w:lineRule="exact"/>
        <w:ind w:left="0" w:right="0" w:firstLine="576"/>
        <w:jc w:val="left"/>
      </w:pPr>
      <w:r>
        <w:rPr/>
        <w:t xml:space="preserve">(10) The direct retail endorsement entitles the holder to sell a retail-eligible species only at a temporary food service establishment as that term is defined in RCW 69.06.045, or directly to a restaurant or other similar food service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Chinook, coho, and chum salmon and anadromous game fish: </w:t>
      </w:r>
      <w:r>
        <w:t>((</w:t>
      </w:r>
      <w:r>
        <w:rPr>
          <w:strike/>
        </w:rPr>
        <w:t xml:space="preserve">Five and twenty-five</w:t>
      </w:r>
      <w:r>
        <w:t>))</w:t>
      </w:r>
      <w:r>
        <w:rPr>
          <w:u w:val="single"/>
        </w:rPr>
        <w:t xml:space="preserve">Eight and forty</w:t>
      </w:r>
      <w:r>
        <w:rPr/>
        <w:t xml:space="preserve"> one-hundredths percent;</w:t>
      </w:r>
    </w:p>
    <w:p>
      <w:pPr>
        <w:spacing w:before="0" w:after="0" w:line="408" w:lineRule="exact"/>
        <w:ind w:left="0" w:right="0" w:firstLine="576"/>
        <w:jc w:val="left"/>
      </w:pPr>
      <w:r>
        <w:rPr/>
        <w:t xml:space="preserve">(b) Pink and sockeye salmon: </w:t>
      </w:r>
      <w:r>
        <w:t>((</w:t>
      </w:r>
      <w:r>
        <w:rPr>
          <w:strike/>
        </w:rPr>
        <w:t xml:space="preserve">Three and fifteen</w:t>
      </w:r>
      <w:r>
        <w:t>))</w:t>
      </w:r>
      <w:r>
        <w:rPr>
          <w:u w:val="single"/>
        </w:rPr>
        <w:t xml:space="preserve">Five and four</w:t>
      </w:r>
      <w:r>
        <w:rPr/>
        <w:t xml:space="preserve"> one-hundredths percent;</w:t>
      </w:r>
    </w:p>
    <w:p>
      <w:pPr>
        <w:spacing w:before="0" w:after="0" w:line="408" w:lineRule="exact"/>
        <w:ind w:left="0" w:right="0" w:firstLine="576"/>
        <w:jc w:val="left"/>
      </w:pPr>
      <w:r>
        <w:rPr/>
        <w:t xml:space="preserve">(c) Other food fish and shellfish, except oysters, sea urchins, and sea cucumbers: Two and one-tenth percent;</w:t>
      </w:r>
    </w:p>
    <w:p>
      <w:pPr>
        <w:spacing w:before="0" w:after="0" w:line="408" w:lineRule="exact"/>
        <w:ind w:left="0" w:right="0" w:firstLine="576"/>
        <w:jc w:val="left"/>
      </w:pPr>
      <w:r>
        <w:rPr/>
        <w:t xml:space="preserve">(d) Oysters: Eight one-hundredths of one percent;</w:t>
      </w:r>
    </w:p>
    <w:p>
      <w:pPr>
        <w:spacing w:before="0" w:after="0" w:line="408" w:lineRule="exact"/>
        <w:ind w:left="0" w:right="0" w:firstLine="576"/>
        <w:jc w:val="left"/>
      </w:pPr>
      <w:r>
        <w:rPr/>
        <w:t xml:space="preserve">(e)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rPr/>
        <w:t xml:space="preserve">(f)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u w:val="single"/>
        </w:rPr>
        <w:t xml:space="preserve">(1)</w:t>
      </w:r>
      <w:r>
        <w:rPr/>
        <w:t xml:space="preserve"> All taxes collected by the department of revenue under this chapter </w:t>
      </w:r>
      <w:r>
        <w:t>((</w:t>
      </w:r>
      <w:r>
        <w:rPr>
          <w:strike/>
        </w:rPr>
        <w:t xml:space="preserve">shall</w:t>
      </w:r>
      <w:r>
        <w:t>))</w:t>
      </w:r>
      <w:r>
        <w:rPr>
          <w:u w:val="single"/>
        </w:rPr>
        <w:t xml:space="preserve">must</w:t>
      </w:r>
      <w:r>
        <w:rPr/>
        <w:t xml:space="preserve"> be deposited in the </w:t>
      </w:r>
      <w:r>
        <w:t>((</w:t>
      </w:r>
      <w:r>
        <w:rPr>
          <w:strike/>
        </w:rPr>
        <w:t xml:space="preserve">state general fund except for the excise tax on anadromous game fish, which shall be deposited in the</w:t>
      </w:r>
      <w:r>
        <w:t>))</w:t>
      </w:r>
      <w:r>
        <w:rPr/>
        <w:t xml:space="preserve"> state wildlife account </w:t>
      </w:r>
      <w:r>
        <w:rPr>
          <w:u w:val="single"/>
        </w:rPr>
        <w:t xml:space="preserve">created in RCW 77.12.170, except for the additional tax in RCW 82.27.020(5), which must be deposited into the state general fund.</w:t>
      </w:r>
    </w:p>
    <w:p>
      <w:pPr>
        <w:spacing w:before="0" w:after="0" w:line="408" w:lineRule="exact"/>
        <w:ind w:left="0" w:right="0" w:firstLine="576"/>
        <w:jc w:val="left"/>
      </w:pPr>
      <w:r>
        <w:rPr>
          <w:u w:val="single"/>
        </w:rPr>
        <w:t xml:space="preserve">(2) Moneys deposited into the state wildlife account from the increase in the excise tax collected on chinook, coho, and chum salmon and anadromous game fish of three and fifteen one-hundredths percent, and on pink and sockeye salmon of one and eighty-nine one-hundredths percent as provided for in section 15, chapter..., Laws of 2015 (section 15 of this act) must be appropriated to support commercial fisheries, including activities such as fishery monitoring, sampling and permitting activities, hatchery production and maintenance activities, and commercial fishery enforcement activities</w:t>
      </w:r>
      <w:r>
        <w:rPr/>
        <w:t xml:space="preserve">. </w:t>
      </w:r>
      <w:r>
        <w:t>((</w:t>
      </w:r>
      <w:r>
        <w:rPr>
          <w:strike/>
        </w:rPr>
        <w:t xml:space="preserve">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40cd01003084a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73bd6244f44149" /><Relationship Type="http://schemas.openxmlformats.org/officeDocument/2006/relationships/footer" Target="/word/footer.xml" Id="R740cd01003084a9d" /></Relationships>
</file>