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2b7a642a80445b" /></Relationships>
</file>

<file path=word/document.xml><?xml version="1.0" encoding="utf-8"?>
<w:document xmlns:w="http://schemas.openxmlformats.org/wordprocessingml/2006/main">
  <w:body>
    <w:p>
      <w:r>
        <w:t>H-0792.1</w:t>
      </w:r>
    </w:p>
    <w:p>
      <w:pPr>
        <w:jc w:val="center"/>
      </w:pPr>
      <w:r>
        <w:t>_______________________________________________</w:t>
      </w:r>
    </w:p>
    <w:p/>
    <w:p>
      <w:pPr>
        <w:jc w:val="center"/>
      </w:pPr>
      <w:r>
        <w:rPr>
          <w:b/>
        </w:rPr>
        <w:t>HOUSE BILL 1559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Riccelli, Johnson, Wylie, Parker, MacEwen, Harris, Rodne, Schmick, Short, Pettigrew, Ormsby, Robinson, Van De Wege, Klippert, Reykdal, Sawyer, Holy, Walsh, S. Hunt, Kretz, Vick, Gregerson, McCaslin, Pike, Scott, Smith, Lytton, Hudgins, Ryu, Condotta, Sells, Moscoso, Hurst, Santos, Buys, Fey, Takko, Blake, Dent, Nealey, Kilduff, Chandler, Wilcox, Haler, Magendanz, Peterson, Ortiz-Self, Appleton, Manweller, Shea, Senn, Hayes, Kochmar, Hargrove, Muri, Stanford, Fagan, Griffey, Van Werven, Wilson, Harmsworth, Kirby, Tharinger, McBride, and Goodman</w:t>
      </w:r>
    </w:p>
    <w:p/>
    <w:p>
      <w:r>
        <w:rPr>
          <w:t xml:space="preserve">Read first time 01/22/15.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higher education programs at Washington State University and the University of Washington; amending RCW 28B.10.115 and 28B.20.060; and adding a new section to chapter 28B.30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115</w:t>
      </w:r>
      <w:r>
        <w:rPr/>
        <w:t xml:space="preserve"> and 2009 c 207 s 1 are each amended to read as follows:</w:t>
      </w:r>
    </w:p>
    <w:p>
      <w:pPr>
        <w:spacing w:before="0" w:after="0" w:line="408" w:lineRule="exact"/>
        <w:ind w:left="0" w:right="0" w:firstLine="576"/>
        <w:jc w:val="left"/>
      </w:pPr>
      <w:r>
        <w:rPr/>
        <w:t xml:space="preserve">The courses of instruction of both the University of Washington and Washington State University shall embrace as major lines, pharmacy, architecture, </w:t>
      </w:r>
      <w:r>
        <w:rPr>
          <w:u w:val="single"/>
        </w:rPr>
        <w:t xml:space="preserve">medicine, forestry,</w:t>
      </w:r>
      <w:r>
        <w:rPr/>
        <w:t xml:space="preserve"> and forest management </w:t>
      </w:r>
      <w:r>
        <w:t>((</w:t>
      </w:r>
      <w:r>
        <w:rPr>
          <w:strike/>
        </w:rPr>
        <w:t xml:space="preserve">as distinguished from forest products and logging engineering which are exclusive to the University of Washington</w:t>
      </w:r>
      <w:r>
        <w:t>))</w:t>
      </w:r>
      <w:r>
        <w:rPr/>
        <w:t xml:space="preserve">. These major lines shall be offered and taught at said institutions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060</w:t>
      </w:r>
      <w:r>
        <w:rPr/>
        <w:t xml:space="preserve"> and 2009 c 207 s 2 are each amended to read as follows:</w:t>
      </w:r>
    </w:p>
    <w:p>
      <w:pPr>
        <w:spacing w:before="0" w:after="0" w:line="408" w:lineRule="exact"/>
        <w:ind w:left="0" w:right="0" w:firstLine="576"/>
        <w:jc w:val="left"/>
      </w:pPr>
      <w:r>
        <w:rPr/>
        <w:t xml:space="preserve">The courses of instruction of the University of Washington shall embrace as exclusive major lines, law, </w:t>
      </w:r>
      <w:r>
        <w:t>((</w:t>
      </w:r>
      <w:r>
        <w:rPr>
          <w:strike/>
        </w:rPr>
        <w:t xml:space="preserve">medicine, forest products, logging engineering,</w:t>
      </w:r>
      <w:r>
        <w:t>))</w:t>
      </w:r>
      <w:r>
        <w:rPr/>
        <w:t xml:space="preserve"> library sciences, and fisheries.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The board of regents of Washington State University is authorized and directed forthwith to establish, operate, and maintain a school of medicine at the university.</w:t>
      </w:r>
    </w:p>
    <w:p/>
    <w:p>
      <w:pPr>
        <w:jc w:val="center"/>
      </w:pPr>
      <w:r>
        <w:rPr>
          <w:b/>
        </w:rPr>
        <w:t>--- END ---</w:t>
      </w:r>
    </w:p>
    <w:sectPr>
      <w:pgNumType w:start="1"/>
      <w:footerReference xmlns:r="http://schemas.openxmlformats.org/officeDocument/2006/relationships" r:id="R7a7ae77d753640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88c79839704c2b" /><Relationship Type="http://schemas.openxmlformats.org/officeDocument/2006/relationships/footer" Target="/word/footer.xml" Id="R7a7ae77d75364099" /></Relationships>
</file>