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2eb6b7fad84b3d" /></Relationships>
</file>

<file path=word/document.xml><?xml version="1.0" encoding="utf-8"?>
<w:document xmlns:w="http://schemas.openxmlformats.org/wordprocessingml/2006/main">
  <w:body>
    <w:p>
      <w:r>
        <w:t>H-0859.1</w:t>
      </w:r>
    </w:p>
    <w:p>
      <w:pPr>
        <w:jc w:val="center"/>
      </w:pPr>
      <w:r>
        <w:t>_______________________________________________</w:t>
      </w:r>
    </w:p>
    <w:p/>
    <w:p>
      <w:pPr>
        <w:jc w:val="center"/>
      </w:pPr>
      <w:r>
        <w:rPr>
          <w:b/>
        </w:rPr>
        <w:t>HOUSE BILL 1558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Orwall, Stokesbary, Haler, Kilduff, Klippert, Riccelli, Ryu, and Wylie</w:t>
      </w:r>
    </w:p>
    <w:p/>
    <w:p>
      <w:r>
        <w:rPr>
          <w:t xml:space="preserve">Read first time 01/22/15.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seizure and forfeiture of property for patronizing a prostitute; amending RCW 9A.88.150;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human trafficking is modern day slavery, which often takes the form of forced prostitution. The potential to make significant financial gains is what motivates sex traffickers to use force, coercion, and physical violence to require victims to engage in sex acts for profit. The legislature finds that both children and adults are forced daily to sell themselves for the profit of others. It is the intent of the legislature that the buyers of sex are held responsible for their participation in this form of modern day slavery. Local governments and law enforcement agencies must have the effective tools necessary to focus on the buyers of sex in order to deter the demand for prostitution. Providing law enforcement with the ability to seize and forfeit the property of buyers who use that property to commit the crime of patronizing a prostitute will hold these individuals responsible for actions that perpetuate human sex trafficking in our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w:t>
      </w:r>
      <w:r>
        <w:t>((</w:t>
      </w:r>
      <w:r>
        <w:rPr>
          <w:strike/>
        </w:rPr>
        <w:t xml:space="preserve">or</w:t>
      </w:r>
      <w:r>
        <w:t>))</w:t>
      </w:r>
      <w:r>
        <w:rPr/>
        <w:t xml:space="preserve"> 9A.88.070, </w:t>
      </w:r>
      <w:r>
        <w:rPr>
          <w:u w:val="single"/>
        </w:rPr>
        <w:t xml:space="preserve">or 9A.88.110,</w:t>
      </w:r>
      <w:r>
        <w:rPr/>
        <w:t xml:space="preserve">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w:t>
      </w:r>
      <w:r>
        <w:t>((</w:t>
      </w:r>
      <w:r>
        <w:rPr>
          <w:strike/>
        </w:rPr>
        <w:t xml:space="preserve">or</w:t>
      </w:r>
      <w:r>
        <w:t>))</w:t>
      </w:r>
      <w:r>
        <w:rPr/>
        <w:t xml:space="preserve"> 9A.88.070</w:t>
      </w:r>
      <w:r>
        <w:rPr>
          <w:u w:val="single"/>
        </w:rPr>
        <w:t xml:space="preserve">, or 9A.88.110</w:t>
      </w:r>
      <w:r>
        <w:rPr/>
        <w:t xml:space="preserve">;</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w:t>
      </w:r>
      <w:r>
        <w:t>((</w:t>
      </w:r>
      <w:r>
        <w:rPr>
          <w:strike/>
        </w:rPr>
        <w:t xml:space="preserve">or</w:t>
      </w:r>
      <w:r>
        <w:t>))</w:t>
      </w:r>
      <w:r>
        <w:rPr/>
        <w:t xml:space="preserve"> 9A.88.070, </w:t>
      </w:r>
      <w:r>
        <w:rPr>
          <w:u w:val="single"/>
        </w:rPr>
        <w:t xml:space="preserve">or 9A.88.110,</w:t>
      </w:r>
      <w:r>
        <w:rPr/>
        <w:t xml:space="preserve">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w:t>
      </w:r>
      <w:r>
        <w:t>((</w:t>
      </w:r>
      <w:r>
        <w:rPr>
          <w:strike/>
        </w:rPr>
        <w:t xml:space="preserve">or</w:t>
      </w:r>
      <w:r>
        <w:t>))</w:t>
      </w:r>
      <w:r>
        <w:rPr/>
        <w:t xml:space="preserve"> 9A.88.070, </w:t>
      </w:r>
      <w:r>
        <w:rPr>
          <w:u w:val="single"/>
        </w:rPr>
        <w:t xml:space="preserve">or 9A.88.110,</w:t>
      </w:r>
      <w:r>
        <w:rPr/>
        <w:t xml:space="preserve">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w:t>
      </w:r>
      <w:r>
        <w:t>((</w:t>
      </w:r>
      <w:r>
        <w:rPr>
          <w:strike/>
        </w:rPr>
        <w:t xml:space="preserve">or</w:t>
      </w:r>
      <w:r>
        <w:t>))</w:t>
      </w:r>
      <w:r>
        <w:rPr/>
        <w:t xml:space="preserve"> 9A.88.070</w:t>
      </w:r>
      <w:r>
        <w:rPr>
          <w:u w:val="single"/>
        </w:rPr>
        <w:t xml:space="preserve">, or 9A.88.110</w:t>
      </w:r>
      <w:r>
        <w:rPr/>
        <w:t xml:space="preserve">.</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w:t>
      </w:r>
      <w:r>
        <w:t>((</w:t>
      </w:r>
      <w:r>
        <w:rPr>
          <w:strike/>
        </w:rPr>
        <w:t xml:space="preserve">or</w:t>
      </w:r>
      <w:r>
        <w:t>))</w:t>
      </w:r>
      <w:r>
        <w:rPr/>
        <w:t xml:space="preserve"> 9A.88.070</w:t>
      </w:r>
      <w:r>
        <w:rPr>
          <w:u w:val="single"/>
        </w:rPr>
        <w:t xml:space="preserve">, or 9A.88.110</w:t>
      </w:r>
      <w:r>
        <w:rPr/>
        <w:t xml:space="preserve">;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db26634d1f6340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030e9e09344a6" /><Relationship Type="http://schemas.openxmlformats.org/officeDocument/2006/relationships/footer" Target="/word/footer.xml" Id="Rdb26634d1f6340a4" /></Relationships>
</file>