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f281d5e6a4b39" /></Relationships>
</file>

<file path=word/document.xml><?xml version="1.0" encoding="utf-8"?>
<w:document xmlns:w="http://schemas.openxmlformats.org/wordprocessingml/2006/main">
  <w:body>
    <w:p>
      <w:r>
        <w:t>H-0946.1</w:t>
      </w:r>
    </w:p>
    <w:p>
      <w:pPr>
        <w:jc w:val="center"/>
      </w:pPr>
      <w:r>
        <w:t>_______________________________________________</w:t>
      </w:r>
    </w:p>
    <w:p/>
    <w:p>
      <w:pPr>
        <w:jc w:val="center"/>
      </w:pPr>
      <w:r>
        <w:rPr>
          <w:b/>
        </w:rPr>
        <w:t>HOUSE BILL 1556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Hargrove, Walkinshaw, Zeiger, Pollet, Van Werven, Bergquist, Ortiz-Self, and Parker</w:t>
      </w:r>
    </w:p>
    <w:p/>
    <w:p>
      <w:r>
        <w:rPr>
          <w:t xml:space="preserve">Read first time 01/22/15.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Washington advanced college tuition payment program by setting new requirements on the purchase and use of tuition units; reenacting and amending RCW 28B.95.030;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strengthen the Washington advanced college tuition payment program by allowing purchasers to buy more tuition units per beneficiary and allowing beneficiaries with high tuition unit balances to use more units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w:t>
      </w:r>
      <w:r>
        <w:rPr>
          <w:u w:val="single"/>
        </w:rPr>
        <w:t xml:space="preserve">In addition, for tuition units purchased on behalf of any one beneficiary, the governing body shall not set the limit at less than eight hundred units.</w:t>
      </w:r>
      <w:r>
        <w:rPr/>
        <w:t xml:space="preserve">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 Units may be redeemed for enrollment at any institution of higher education that is recognized by the internal revenue service under chapter 529 of the internal revenue code.</w:t>
      </w:r>
    </w:p>
    <w:p>
      <w:pPr>
        <w:spacing w:before="0" w:after="0" w:line="408" w:lineRule="exact"/>
        <w:ind w:left="0" w:right="0" w:firstLine="576"/>
        <w:jc w:val="left"/>
      </w:pPr>
      <w:r>
        <w:rPr/>
        <w:t xml:space="preserve">(b)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The governing body shall promote, advertise, and publicize the Washington advanced college tuition payment program.</w:t>
      </w:r>
    </w:p>
    <w:p>
      <w:pPr>
        <w:spacing w:before="0" w:after="0" w:line="408" w:lineRule="exact"/>
        <w:ind w:left="0" w:right="0" w:firstLine="576"/>
        <w:jc w:val="left"/>
      </w:pPr>
      <w:r>
        <w:rPr/>
        <w:t xml:space="preserve">(8)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r>
        <w:rPr>
          <w:u w:val="single"/>
        </w:rPr>
        <w:t xml:space="preserve">, including that: (i) A beneficiary with five hundred credits or fewer must be allowed to use at least one hundred twenty-five credits per year, and (ii) a beneficiary with more than five hundred credits must be allowed to use up to twenty-five percent of the beneficiary's high credit balance per year</w:t>
      </w:r>
      <w:r>
        <w:rPr/>
        <w:t xml:space="preserve">;</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
      <w:pPr>
        <w:jc w:val="center"/>
      </w:pPr>
      <w:r>
        <w:rPr>
          <w:b/>
        </w:rPr>
        <w:t>--- END ---</w:t>
      </w:r>
    </w:p>
    <w:sectPr>
      <w:pgNumType w:start="1"/>
      <w:footerReference xmlns:r="http://schemas.openxmlformats.org/officeDocument/2006/relationships" r:id="Race843bab8a34d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74daa26d974cb6" /><Relationship Type="http://schemas.openxmlformats.org/officeDocument/2006/relationships/footer" Target="/word/footer.xml" Id="Race843bab8a34d8d" /></Relationships>
</file>