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5101f115bb45e2" /></Relationships>
</file>

<file path=word/document.xml><?xml version="1.0" encoding="utf-8"?>
<w:document xmlns:w="http://schemas.openxmlformats.org/wordprocessingml/2006/main">
  <w:body>
    <w:p>
      <w:r>
        <w:t>H-1039.1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HOUSE BILL 1540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64th Legislature</w:t>
        <w:tab/>
      </w:r>
      <w:r>
        <w:rPr>
          <w:b/>
        </w:rPr>
        <w:t>2015 Regular Session</w:t>
      </w:r>
    </w:p>
    <w:p/>
    <w:p>
      <w:r>
        <w:rPr>
          <w:b/>
        </w:rPr>
        <w:t xml:space="preserve">By </w:t>
      </w:r>
      <w:r>
        <w:t>Representatives Kretz, Blake, Pettigrew, Condotta, Stanford, Lytton, Short, Sawyer, S. Hunt, Hurst, Moscoso, and Wylie</w:t>
      </w:r>
    </w:p>
    <w:p/>
    <w:p>
      <w:r>
        <w:rPr>
          <w:t xml:space="preserve">Read first time 01/22/15.  </w:t>
        </w:rPr>
      </w:r>
      <w:r>
        <w:rPr>
          <w:t xml:space="preserve">Referred to Committee on Community Development, Housing &amp; Tribal Affairs.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tribal timber harvest excise tax agreements; and amending RCW 43.06.480.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43</w:t>
      </w:r>
      <w:r>
        <w:rPr/>
        <w:t xml:space="preserve">.</w:t>
      </w:r>
      <w:r>
        <w:t xml:space="preserve">06</w:t>
      </w:r>
      <w:r>
        <w:rPr/>
        <w:t xml:space="preserve">.</w:t>
      </w:r>
      <w:r>
        <w:t xml:space="preserve">480</w:t>
      </w:r>
      <w:r>
        <w:rPr/>
        <w:t xml:space="preserve"> and 2007 c 69 s 3 are each amended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The governor is authorized to enter into a timber harvest excise tax agreement with the Quinault Nation </w:t>
      </w:r>
      <w:r>
        <w:rPr>
          <w:u w:val="single"/>
        </w:rPr>
        <w:t xml:space="preserve">and the Confederated Tribes of the Colville Reservation</w:t>
      </w:r>
      <w:r>
        <w:rPr/>
        <w:t xml:space="preserve">. Agreements adopted under this section must provide that the tribal timber harvest excise tax rate be one hundred percent of the state timber harvest excise tax.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A timber harvest excise tax agreement under this section is subject to RCW 43.06.475.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780ff103affe4a05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HB 1540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847b430c7949e0" /><Relationship Type="http://schemas.openxmlformats.org/officeDocument/2006/relationships/footer" Target="/word/footer.xml" Id="R780ff103affe4a05" /></Relationships>
</file>