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219c9eab3f495b" /></Relationships>
</file>

<file path=word/document.xml><?xml version="1.0" encoding="utf-8"?>
<w:document xmlns:w="http://schemas.openxmlformats.org/wordprocessingml/2006/main">
  <w:body>
    <w:p>
      <w:r>
        <w:t>Z-0441.1</w:t>
      </w:r>
    </w:p>
    <w:p>
      <w:pPr>
        <w:jc w:val="center"/>
      </w:pPr>
      <w:r>
        <w:t>_______________________________________________</w:t>
      </w:r>
    </w:p>
    <w:p/>
    <w:p>
      <w:pPr>
        <w:jc w:val="center"/>
      </w:pPr>
      <w:r>
        <w:rPr>
          <w:b/>
        </w:rPr>
        <w:t>HOUSE BILL 1532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Smith, Stanford, DeBolt, Riccelli, and Tarleton</w:t>
      </w:r>
    </w:p>
    <w:p/>
    <w:p>
      <w:r>
        <w:rPr>
          <w:t xml:space="preserve">Read first time 01/22/15.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capital design and construction for institutions of higher education; and amending RCW 43.88.030.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w:t>
      </w:r>
      <w:r>
        <w:rPr>
          <w:u w:val="single"/>
        </w:rPr>
        <w:t xml:space="preserve">with the exception of projects at institutions of higher education as defined in RCW 28B.10.016, which may be valued up to ten million dollars,</w:t>
      </w:r>
      <w:r>
        <w:rPr/>
        <w:t xml:space="preserve">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t xml:space="preserve">For purposes of this subsection (5),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(6)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
      <w:pPr>
        <w:jc w:val="center"/>
      </w:pPr>
      <w:r>
        <w:rPr>
          <w:b/>
        </w:rPr>
        <w:t>--- END ---</w:t>
      </w:r>
    </w:p>
    <w:sectPr>
      <w:pgNumType w:start="1"/>
      <w:footerReference xmlns:r="http://schemas.openxmlformats.org/officeDocument/2006/relationships" r:id="R43bb76ff104d40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8e09b989034696" /><Relationship Type="http://schemas.openxmlformats.org/officeDocument/2006/relationships/footer" Target="/word/footer.xml" Id="R43bb76ff104d4098" /></Relationships>
</file>