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360e5a09c4299" /></Relationships>
</file>

<file path=word/document.xml><?xml version="1.0" encoding="utf-8"?>
<w:document xmlns:w="http://schemas.openxmlformats.org/wordprocessingml/2006/main">
  <w:body>
    <w:p>
      <w:r>
        <w:t>H-0744.3</w:t>
      </w:r>
    </w:p>
    <w:p>
      <w:pPr>
        <w:jc w:val="center"/>
      </w:pPr>
      <w:r>
        <w:t>_______________________________________________</w:t>
      </w:r>
    </w:p>
    <w:p/>
    <w:p>
      <w:pPr>
        <w:jc w:val="center"/>
      </w:pPr>
      <w:r>
        <w:rPr>
          <w:b/>
        </w:rPr>
        <w:t>HOUSE BILL 1520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Taylor, Scott, Griffey, Shea, G. Hunt, Young, and Magendanz</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finding of guilt prior to the forfeiture of private property; and amending RCW 9.46.231, 9.68A.120, 9A.88.150, 10.105.010, 9A.83.030, 19.290.230, 46.61.5058, 69.50.505, 70.74.400, 82.24.130, 82.26.230, 82.26.240, 82.32.670, and 82.38.360.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231</w:t>
      </w:r>
      <w:r>
        <w:rPr/>
        <w:t xml:space="preserve"> and 2008 c 6 s 629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gambling devices as defined in this chapter;</w:t>
      </w:r>
    </w:p>
    <w:p>
      <w:pPr>
        <w:spacing w:before="0" w:after="0" w:line="408" w:lineRule="exact"/>
        <w:ind w:left="0" w:right="0" w:firstLine="576"/>
        <w:jc w:val="left"/>
      </w:pPr>
      <w:r>
        <w:rPr/>
        <w:t xml:space="preserve">(b) All furnishings, fixtures, equipment, and stock, including without limitation furnishings and fixtures adaptable to nongambling uses and equipment and stock for printing, recording, computing, transporting, or safekeeping, used in connection with professional gambling or maintaining a gambling premises;</w:t>
      </w:r>
    </w:p>
    <w:p>
      <w:pPr>
        <w:spacing w:before="0" w:after="0" w:line="408" w:lineRule="exact"/>
        <w:ind w:left="0" w:right="0" w:firstLine="576"/>
        <w:jc w:val="left"/>
      </w:pPr>
      <w:r>
        <w:rPr/>
        <w:t xml:space="preserve">(c) All conveyances, including aircraft, vehicles, or vessels, that are used, or intended for use, in any manner to facilitate the sale, delivery, receipt, or operation of any gambling device, or the promotion or operation of a professional gambling activity, except that:</w:t>
      </w:r>
    </w:p>
    <w:p>
      <w:pPr>
        <w:spacing w:before="0" w:after="0" w:line="408" w:lineRule="exact"/>
        <w:ind w:left="0" w:right="0" w:firstLine="576"/>
        <w:jc w:val="left"/>
      </w:pPr>
      <w:r>
        <w:rPr/>
        <w:t xml:space="preserve">(i) A conveyance used by any person as a common carrier in the transaction of business as a common carrier is not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(ii) A conveyance is not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If the owner of a conveyance has been arrested under this chapter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(d) All books, records, and research products and materials, including formulas, microfilm, tapes, and electronic data that are used, or intended for use, in violation of this chapter;</w:t>
      </w:r>
    </w:p>
    <w:p>
      <w:pPr>
        <w:spacing w:before="0" w:after="0" w:line="408" w:lineRule="exact"/>
        <w:ind w:left="0" w:right="0" w:firstLine="576"/>
        <w:jc w:val="left"/>
      </w:pPr>
      <w:r>
        <w:rPr/>
        <w:t xml:space="preserve">(e) All moneys, negotiable instruments, securities, or other tangible or intangible property of value at stake or displayed in or in connection with professional gambling activity or furnished or intended to be furnished by any person to facilitate the promotion or operation of a professional gambling activity;</w:t>
      </w:r>
    </w:p>
    <w:p>
      <w:pPr>
        <w:spacing w:before="0" w:after="0" w:line="408" w:lineRule="exact"/>
        <w:ind w:left="0" w:right="0" w:firstLine="576"/>
        <w:jc w:val="left"/>
      </w:pPr>
      <w:r>
        <w:rPr/>
        <w:t xml:space="preserve">(f) All tangible or intangible personal property, proceeds, or assets acquired in whole or in part with proceeds </w:t>
      </w:r>
      <w:r>
        <w:rPr>
          <w:u w:val="single"/>
        </w:rPr>
        <w:t xml:space="preserve">directly</w:t>
      </w:r>
      <w:r>
        <w:rPr/>
        <w:t xml:space="preserve"> traceable to professional gambling activity and all moneys, negotiable instruments, and securities used or intended to be used to facilitate any violation of this chapter.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Personal property may not be forfeited under this subsection (1)(f), to the extent of the interest of an owner, by reason of any act or omission that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that:</w:t>
      </w:r>
    </w:p>
    <w:p>
      <w:pPr>
        <w:spacing w:before="0" w:after="0" w:line="408" w:lineRule="exact"/>
        <w:ind w:left="0" w:right="0" w:firstLine="576"/>
        <w:jc w:val="left"/>
      </w:pPr>
      <w:r>
        <w:rPr/>
        <w:t xml:space="preserve">(i) Have been used with the knowledge of the owner for the manufacturing, processing, delivery, importing, or exporting of any illegal gambling equipment, or operation of a professional gambling activity that would constitute a felony violation of this chapter; or</w:t>
      </w:r>
    </w:p>
    <w:p>
      <w:pPr>
        <w:spacing w:before="0" w:after="0" w:line="408" w:lineRule="exact"/>
        <w:ind w:left="0" w:right="0" w:firstLine="576"/>
        <w:jc w:val="left"/>
      </w:pPr>
      <w:r>
        <w:rPr/>
        <w:t xml:space="preserve">(ii) Have been acquired in whole or in part with proceeds </w:t>
      </w:r>
      <w:r>
        <w:rPr>
          <w:u w:val="single"/>
        </w:rPr>
        <w:t xml:space="preserve">directly</w:t>
      </w:r>
      <w:r>
        <w:rPr/>
        <w:t xml:space="preserve"> traceable to a professional gambling activity, if the activity is not less than a class C felony.</w:t>
      </w:r>
    </w:p>
    <w:p>
      <w:pPr>
        <w:spacing w:before="0" w:after="0" w:line="408" w:lineRule="exact"/>
        <w:ind w:left="0" w:right="0" w:firstLine="576"/>
        <w:jc w:val="left"/>
      </w:pPr>
      <w:r>
        <w:rPr/>
        <w:t xml:space="preserve">Real property forfeited under this chapter that is encumbered by a bona fide security interest remains subject to the interest of the secured party if the secured party, at the time the security interest was created, neither had knowledge of nor consented to the act or omission. Property may not be forfeited under this subsection,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(2)(a) A law enforcement officer of this state may seize real or personal property subject to forfeiture under this chapter upon process issued by any superior court having jurisdiction over the property. Seizure of real property includes the filing of a lis pendens by the seizing agency. Real property seized under this section may not be transferred or otherwise conveyed until ninety days after seizure or until a judgment of forfeiture is entered, whichever is later, but real property seized under this section may be transferred or conveyed to any person or entity who acquires title by foreclosure or deed in lieu of foreclosure of a bona fide security interest.</w:t>
      </w:r>
    </w:p>
    <w:p>
      <w:pPr>
        <w:spacing w:before="0" w:after="0" w:line="408" w:lineRule="exact"/>
        <w:ind w:left="0" w:right="0" w:firstLine="576"/>
        <w:jc w:val="left"/>
      </w:pPr>
      <w:r>
        <w:rPr/>
        <w:t xml:space="preserve">(b) Seizure of personal property without process may be made if:</w:t>
      </w:r>
    </w:p>
    <w:p>
      <w:pPr>
        <w:spacing w:before="0" w:after="0" w:line="408" w:lineRule="exact"/>
        <w:ind w:left="0" w:right="0" w:firstLine="576"/>
        <w:jc w:val="left"/>
      </w:pPr>
      <w:r>
        <w:rPr/>
        <w:t xml:space="preserve">(i) The seizure is incident to an arrest or a search under a search warrant or an inspection under an administrative inspection warrant;</w:t>
      </w:r>
    </w:p>
    <w:p>
      <w:pPr>
        <w:spacing w:before="0" w:after="0" w:line="408" w:lineRule="exact"/>
        <w:ind w:left="0" w:right="0" w:firstLine="576"/>
        <w:jc w:val="left"/>
      </w:pPr>
      <w:r>
        <w:rPr/>
        <w:t xml:space="preserve">(ii)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(iii) A law enforcement officer has probable cause to believe that the property is directly or indirectly dangerous to health or safety; or</w:t>
      </w:r>
    </w:p>
    <w:p>
      <w:pPr>
        <w:spacing w:before="0" w:after="0" w:line="408" w:lineRule="exact"/>
        <w:ind w:left="0" w:right="0" w:firstLine="576"/>
        <w:jc w:val="left"/>
      </w:pPr>
      <w:r>
        <w:rPr/>
        <w:t xml:space="preserve">(iv)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under subsection (2) of this section, proceedings for forfeiture are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person or persons must be afforded a reasonable opportunity to be heard as to the claim or right. The hearing must be before the chief law enforcement officer of the seizing agency or the chief law enforcement officer's designee, except if the seizing agency is a state agency as defined in RCW 34.12.020(4), the hearing must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must be the district court if the aggregate value of personal property is within the jurisdictional limit set forth in RCW 3.66.020. A hearing before the seizing agency and any appeal therefrom must be under Title 34 RCW. In a court hearing between two or more claimants to the article or articles involved, the prevailing party is entitled to a judgment for costs and reasonable attorneys' fees. In cases involving personal property, the burden of producing evidence is upon the person claiming to be the lawful owner or the person claiming to have the lawful right to possession of the property. In cases involving property seized under subsection (1)(a) of this section, the only issues to be determined by the tribunal are whether the item seized is a gambling device, and whether the device is an antique device as defined by RCW 9.46.235. In cases involving real property, the burden of producing evidence is upon the law enforcement agency. The burden of proof that the seized real property is subject to forfeiture is upon the law enforcement agency. The seizing law enforcement agency shall promptly return the article or articles to the claimant upon a final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If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the agency for training or use in enforcing this chapter;</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Destroy any articles that may not be lawfully possessed within the state of Washington, or that have a fair market value of less than one hundred dollars.</w:t>
      </w:r>
    </w:p>
    <w:p>
      <w:pPr>
        <w:spacing w:before="0" w:after="0" w:line="408" w:lineRule="exact"/>
        <w:ind w:left="0" w:right="0" w:firstLine="576"/>
        <w:jc w:val="left"/>
      </w:pPr>
      <w:r>
        <w:rPr/>
        <w:t xml:space="preserve">(7)(a) If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(8) The seizing law enforcement agency shall retain forfeited property and net proceeds exclusively for the expansion and improvement of gambling-related law enforcement activity. Money retained under this section may not be used to supplant preexisting funding sources.</w:t>
      </w:r>
    </w:p>
    <w:p>
      <w:pPr>
        <w:spacing w:before="0" w:after="0" w:line="408" w:lineRule="exact"/>
        <w:ind w:left="0" w:right="0" w:firstLine="576"/>
        <w:jc w:val="left"/>
      </w:pPr>
      <w:r>
        <w:rPr/>
        <w:t xml:space="preserve">(9) Gambling devices that are possessed, transferred, sold, or offered for sale in violation of this chapter are contraband and must be seized and summarily forfeited to the state. Gambling equipment that is seized or comes into the possession of a law enforcement agency, the owners of which are unknown, are contraband and must be summarily forfeited to the state.</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The superior court shall enter orders for the forfeiture of real property, subject to court rules. The seizing agency shall file such an order in the county auditor's records in the county in which the real property is located.</w:t>
      </w:r>
    </w:p>
    <w:p>
      <w:pPr>
        <w:spacing w:before="0" w:after="0" w:line="408" w:lineRule="exact"/>
        <w:ind w:left="0" w:right="0" w:firstLine="576"/>
        <w:jc w:val="left"/>
      </w:pPr>
      <w:r>
        <w:rPr/>
        <w:t xml:space="preserve">(11)(a) A landlord may assert a claim against proceeds from the sale of assets seized and forfeited under subsection (6)(b)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before asserting a claim under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 and</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shall notify the landlord of the status of the claim by the end of the thirty-day period. This section does not require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w:t>
      </w:r>
    </w:p>
    <w:p>
      <w:pPr>
        <w:spacing w:before="0" w:after="0" w:line="408" w:lineRule="exact"/>
        <w:ind w:left="0" w:right="0" w:firstLine="576"/>
        <w:jc w:val="left"/>
      </w:pPr>
      <w:r>
        <w:rPr/>
        <w:t xml:space="preserve">(ii) Failed to respond to a notification of the illegal activity, provided by a law enforcement agency within seven days of receipt of notification of the illegal activity.</w:t>
      </w:r>
    </w:p>
    <w:p>
      <w:pPr>
        <w:spacing w:before="0" w:after="0" w:line="408" w:lineRule="exact"/>
        <w:ind w:left="0" w:right="0" w:firstLine="576"/>
        <w:jc w:val="left"/>
      </w:pPr>
      <w:r>
        <w:rPr/>
        <w:t xml:space="preserve">(12) The landlord's claim for damages under subsection (11)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(6)(b)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(7)(a) of this section.</w:t>
      </w:r>
    </w:p>
    <w:p>
      <w:pPr>
        <w:spacing w:before="0" w:after="0" w:line="408" w:lineRule="exact"/>
        <w:ind w:left="0" w:right="0" w:firstLine="576"/>
        <w:jc w:val="left"/>
      </w:pPr>
      <w:r>
        <w:rPr/>
        <w:t xml:space="preserve">(13) Subsections (11) and (12) of this section do not limit any other rights a landlord may have against a tenant to collect for damages. However, if a law enforcement agency satisfies a landlord's claim under subsection (11)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t xml:space="preserve">(14) Liability is not imposed by this section upon any authorized state, county, or municipal officer, including a commission special agent, in the lawful performance of his or her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w:t>
      </w:r>
      <w:r>
        <w:rPr>
          <w:u w:val="single"/>
        </w:rPr>
        <w:t xml:space="preserve">directly</w:t>
      </w:r>
      <w:r>
        <w:rPr/>
        <w:t xml:space="preserve">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w:t>
      </w:r>
      <w:r>
        <w:rPr>
          <w:u w:val="single"/>
        </w:rPr>
        <w:t xml:space="preserve">directly</w:t>
      </w:r>
      <w:r>
        <w:rPr/>
        <w:t xml:space="preserve"> traceable to a violation of this chapter, the seizing law enforcement agency must prove by a preponderance of the evidence that the property constitutes proceeds </w:t>
      </w:r>
      <w:r>
        <w:rPr>
          <w:u w:val="single"/>
        </w:rPr>
        <w:t xml:space="preserve">directly</w:t>
      </w:r>
      <w:r>
        <w:rPr/>
        <w:t xml:space="preserve">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paid to the state treasurer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w:t>
      </w:r>
      <w:r>
        <w:rPr>
          <w:u w:val="single"/>
        </w:rPr>
        <w:t xml:space="preserve">directly</w:t>
      </w:r>
      <w:r>
        <w:rPr/>
        <w:t xml:space="preserve"> traceable to or </w:t>
      </w:r>
      <w:r>
        <w:rPr>
          <w:u w:val="single"/>
        </w:rPr>
        <w:t xml:space="preserve">directly</w:t>
      </w:r>
      <w:r>
        <w:rPr/>
        <w:t xml:space="preserve">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w:t>
      </w:r>
      <w:r>
        <w:rPr>
          <w:u w:val="single"/>
        </w:rPr>
        <w:t xml:space="preserve">directly</w:t>
      </w:r>
      <w:r>
        <w:rPr/>
        <w:t xml:space="preserve">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w:t>
      </w:r>
      <w:r>
        <w:rPr>
          <w:u w:val="single"/>
        </w:rPr>
        <w:t xml:space="preserve">directly</w:t>
      </w:r>
      <w:r>
        <w:rPr/>
        <w:t xml:space="preserve">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or 9A.88.070;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w:t>
      </w:r>
      <w:r>
        <w:rPr>
          <w:u w:val="single"/>
        </w:rPr>
        <w:t xml:space="preserve">directly</w:t>
      </w:r>
      <w:r>
        <w:rPr/>
        <w:t xml:space="preserve">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2008 c 6 s 630 are each amended to read as follows:</w:t>
      </w:r>
    </w:p>
    <w:p>
      <w:pPr>
        <w:spacing w:before="0" w:after="0" w:line="408" w:lineRule="exact"/>
        <w:ind w:left="0" w:right="0" w:firstLine="576"/>
        <w:jc w:val="left"/>
      </w:pPr>
      <w:r>
        <w:rPr/>
        <w:t xml:space="preserve">(1) Proceeds </w:t>
      </w:r>
      <w:r>
        <w:rPr>
          <w:u w:val="single"/>
        </w:rPr>
        <w:t xml:space="preserve">directly</w:t>
      </w:r>
      <w:r>
        <w:rPr/>
        <w:t xml:space="preserve"> traceable to or </w:t>
      </w:r>
      <w:r>
        <w:rPr>
          <w:u w:val="single"/>
        </w:rPr>
        <w:t xml:space="preserve">directly</w:t>
      </w:r>
      <w:r>
        <w:rPr/>
        <w:t xml:space="preserve">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t xml:space="preserve">(6) Disposition of forfeited property shall be made in the manner provided for in RCW 69.50.505 (8) through (10) and (14).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w:t>
      </w:r>
      <w:r>
        <w:rPr>
          <w:u w:val="single"/>
        </w:rPr>
        <w:t xml:space="preserve">directly</w:t>
      </w:r>
      <w:r>
        <w:rPr/>
        <w:t xml:space="preserve">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w:t>
      </w:r>
      <w:r>
        <w:rPr>
          <w:u w:val="single"/>
        </w:rPr>
        <w:t xml:space="preserve">directly</w:t>
      </w:r>
      <w:r>
        <w:rPr/>
        <w:t xml:space="preserve">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w:t>
      </w:r>
      <w:r>
        <w:t>((</w:t>
      </w:r>
      <w:r>
        <w:rPr>
          <w:strike/>
        </w:rPr>
        <w:t xml:space="preserve">automatically</w:t>
      </w:r>
      <w:r>
        <w:t>))</w:t>
      </w:r>
      <w:r>
        <w:rPr/>
        <w:t xml:space="preserve">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t xml:space="preserve">(7)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rPr/>
        <w:t xml:space="preserve">(8)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rPr/>
        <w:t xml:space="preserve">(9) Each seizing agency shall retain records of forfeited vehicles for at least seven years.</w:t>
      </w:r>
    </w:p>
    <w:p>
      <w:pPr>
        <w:spacing w:before="0" w:after="0" w:line="408" w:lineRule="exact"/>
        <w:ind w:left="0" w:right="0" w:firstLine="576"/>
        <w:jc w:val="left"/>
      </w:pPr>
      <w:r>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(12) By January 31st of each year, each seizing agency shall remit to the state treasurer an amount equal to ten percent of the net proceeds of vehicles forfeited during the preceding calendar year. Money remitted shall be deposited in the state general fund.</w:t>
      </w:r>
    </w:p>
    <w:p>
      <w:pPr>
        <w:spacing w:before="0" w:after="0" w:line="408" w:lineRule="exact"/>
        <w:ind w:left="0" w:right="0" w:firstLine="576"/>
        <w:jc w:val="left"/>
      </w:pPr>
      <w:r>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w:t>
      </w:r>
      <w:r>
        <w:rPr>
          <w:u w:val="single"/>
        </w:rPr>
        <w:t xml:space="preserve">directly</w:t>
      </w:r>
      <w:r>
        <w:rPr/>
        <w:t xml:space="preserve">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w:t>
      </w:r>
      <w:r>
        <w:rPr>
          <w:u w:val="single"/>
        </w:rPr>
        <w:t xml:space="preserve">directly</w:t>
      </w:r>
      <w:r>
        <w:rPr/>
        <w:t xml:space="preserve">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u w:val="single"/>
        </w:rPr>
        <w:t xml:space="preserve">commission</w:t>
      </w:r>
      <w:r>
        <w:rPr/>
        <w:t xml:space="preserve">, the owners of which are unknown, are contraband and shall be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p>
    <w:p>
      <w:pPr>
        <w:spacing w:before="0" w:after="0" w:line="408" w:lineRule="exact"/>
        <w:ind w:left="0" w:right="0" w:firstLine="576"/>
        <w:jc w:val="left"/>
      </w:pPr>
      <w:r>
        <w:rPr/>
        <w:t xml:space="preserve">(5) 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t xml:space="preserve">(9)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rPr/>
        <w:t xml:space="preserve">(10)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130</w:t>
      </w:r>
      <w:r>
        <w:rPr/>
        <w:t xml:space="preserve"> and 2012 2nd sp.s. c 4 s 8 are each amended to read as follows:</w:t>
      </w:r>
    </w:p>
    <w:p>
      <w:pPr>
        <w:spacing w:before="0" w:after="0" w:line="408" w:lineRule="exact"/>
        <w:ind w:left="0" w:right="0" w:firstLine="576"/>
        <w:jc w:val="left"/>
      </w:pPr>
      <w:r>
        <w:rPr/>
        <w:t xml:space="preserve">(1) The following are subject to seizure and forfeiture:</w:t>
      </w:r>
    </w:p>
    <w:p>
      <w:pPr>
        <w:spacing w:before="0" w:after="0" w:line="408" w:lineRule="exact"/>
        <w:ind w:left="0" w:right="0" w:firstLine="576"/>
        <w:jc w:val="left"/>
      </w:pPr>
      <w:r>
        <w:rPr/>
        <w:t xml:space="preserve">(a) Subject to RCW 82.24.250, any articles taxed in this chapter that are found at any point within this state, which articles are held, owned, or possessed by any person, and that do not have the stamps affixed to the packages or containers; any container or package of cigarettes possessed or held for sale that does not comply with this chapter; and any container or package of cigarettes that is manufactured, sold, or possessed in violation of RCW 82.24.570.</w:t>
      </w:r>
    </w:p>
    <w:p>
      <w:pPr>
        <w:spacing w:before="0" w:after="0" w:line="408" w:lineRule="exact"/>
        <w:ind w:left="0" w:right="0" w:firstLine="576"/>
        <w:jc w:val="left"/>
      </w:pPr>
      <w:r>
        <w:rPr/>
        <w:t xml:space="preserve">(b) All conveyances, including aircraft, vehicles, or vessels, which are used, or intended for use, to transport, or in any manner to facilitate the transportation, for the purpose of sale or receipt of property described in (a) of this subsection, except:</w:t>
      </w:r>
    </w:p>
    <w:p>
      <w:pPr>
        <w:spacing w:before="0" w:after="0" w:line="408" w:lineRule="exact"/>
        <w:ind w:left="0" w:right="0" w:firstLine="576"/>
        <w:jc w:val="left"/>
      </w:pPr>
      <w:r>
        <w:rPr/>
        <w:t xml:space="preserve">(i) A conveyance used by any person as a common or contract carrier having in actual possession invoices or delivery tickets showing the true name and address of the consignor or seller, the true name of the consignee or purchaser, and the quantity and brands of the cigarettes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(ii) A conveyance subject to forfeiture under this section by reason of any act or omission of which the owner thereof establishes to have been committed or omitted without his or her knowledge or consent;</w:t>
      </w:r>
    </w:p>
    <w:p>
      <w:pPr>
        <w:spacing w:before="0" w:after="0" w:line="408" w:lineRule="exact"/>
        <w:ind w:left="0" w:right="0" w:firstLine="576"/>
        <w:jc w:val="left"/>
      </w:pPr>
      <w:r>
        <w:rPr/>
        <w:t xml:space="preserve">(iii)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(c) Any vending machine or commercial cigarette-making machine used for the purpose of violating the provisions of this chapter.</w:t>
      </w:r>
    </w:p>
    <w:p>
      <w:pPr>
        <w:spacing w:before="0" w:after="0" w:line="408" w:lineRule="exact"/>
        <w:ind w:left="0" w:right="0" w:firstLine="576"/>
        <w:jc w:val="left"/>
      </w:pPr>
      <w:r>
        <w:rPr/>
        <w:t xml:space="preserve">(d) Any cigarettes that are stamped, sold, imported, or offered or possessed for sale in this state in violation of RCW 70.158.030(3). For the purposes of this subsection (1)(d), "cigarettes" has the meaning as provided in RCW 70.158.020(3).</w:t>
      </w:r>
    </w:p>
    <w:p>
      <w:pPr>
        <w:spacing w:before="0" w:after="0" w:line="408" w:lineRule="exact"/>
        <w:ind w:left="0" w:right="0" w:firstLine="576"/>
        <w:jc w:val="left"/>
      </w:pPr>
      <w:r>
        <w:rPr/>
        <w:t xml:space="preserve">(2)</w:t>
      </w:r>
      <w:r>
        <w:rPr>
          <w:u w:val="single"/>
        </w:rPr>
        <w:t xml:space="preserve">(a)</w:t>
      </w:r>
      <w:r>
        <w:rPr/>
        <w:t xml:space="preserve"> Property subject to forfeiture under this chapter may be seized by any agent of the department authorized to collect taxes, any enforcement officer of the board,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u w:val="single"/>
        </w:rPr>
        <w:t xml:space="preserve">(i)</w:t>
      </w:r>
      <w:r>
        <w:rPr/>
        <w:t xml:space="preserve"> The seizure is incident to an arrest or a search under a search warrant or an inspection under an administrative inspection warrant; or</w:t>
      </w:r>
    </w:p>
    <w:p>
      <w:pPr>
        <w:spacing w:before="0" w:after="0" w:line="408" w:lineRule="exact"/>
        <w:ind w:left="0" w:right="0" w:firstLine="576"/>
        <w:jc w:val="left"/>
      </w:pPr>
      <w:r>
        <w:t>((</w:t>
      </w:r>
      <w:r>
        <w:rPr>
          <w:strike/>
        </w:rPr>
        <w:t xml:space="preserve">(b)</w:t>
      </w:r>
      <w:r>
        <w:t>))</w:t>
      </w:r>
      <w:r>
        <w:rPr>
          <w:u w:val="single"/>
        </w:rPr>
        <w:t xml:space="preserve">(ii)</w:t>
      </w:r>
      <w:r>
        <w:rPr/>
        <w:t xml:space="preserve"> The department, the board, or the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(3) Notwithstanding the foregoing provisions of this section, articles taxed in this chapter which are in the possession of a wholesaler, licensed under Washington state law, for a period of time necessary to affix the stamps after receipt of the articles, are not considered contraband unless they are manufactured, sold, or possessed in violation of RCW 82.24.570.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230</w:t>
      </w:r>
      <w:r>
        <w:rPr/>
        <w:t xml:space="preserve"> and 2005 c 180 s 20 are each amended to read as follows:</w:t>
      </w:r>
    </w:p>
    <w:p>
      <w:pPr>
        <w:spacing w:before="0" w:after="0" w:line="408" w:lineRule="exact"/>
        <w:ind w:left="0" w:right="0" w:firstLine="576"/>
        <w:jc w:val="left"/>
      </w:pPr>
      <w:r>
        <w:rPr/>
        <w:t xml:space="preserve">(1) Any tobacco products in the possession of a person selling tobacco products in this state acting as a distributor or retailer and who is not licensed as required under RCW 82.26.190, or a person who is selling tobacco products in violation of RCW 82.26.220(6), may be seized without a warrant by any agent of the department, agent of the board, or law enforcement officer of this state. Any tobacco products seized under this subsection shall be deemed forfeited.</w:t>
      </w:r>
    </w:p>
    <w:p>
      <w:pPr>
        <w:spacing w:before="0" w:after="0" w:line="408" w:lineRule="exact"/>
        <w:ind w:left="0" w:right="0" w:firstLine="576"/>
        <w:jc w:val="left"/>
      </w:pPr>
      <w:r>
        <w:rPr/>
        <w:t xml:space="preserve">(2) Any tobacco products in the possession of a person who is not a licensed distributor or retailer and who transports tobacco products for sale without having provided notice to the board required under RCW 82.26.140, or without invoices or delivery tickets showing the true name and address of the consignor or seller, the true name and address of the consignee or purchaser, and the quantity and brands of tobacco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tobacco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tobacco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w:t>
      </w:r>
      <w:r>
        <w:rPr>
          <w:u w:val="single"/>
        </w:rPr>
        <w:t xml:space="preserve">(a)</w:t>
      </w:r>
      <w:r>
        <w:rPr/>
        <w:t xml:space="preserve"> Property subject to forfeiture under subsections (2) and (3) of this section may be seized by any agent of the department, the board,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u w:val="single"/>
        </w:rPr>
        <w:t xml:space="preserve">(i)</w:t>
      </w:r>
      <w:r>
        <w:rPr/>
        <w:t xml:space="preserve"> The seizure is incident to an arrest or a search warrant or an inspection under an administrative inspection warrant; or</w:t>
      </w:r>
    </w:p>
    <w:p>
      <w:pPr>
        <w:spacing w:before="0" w:after="0" w:line="408" w:lineRule="exact"/>
        <w:ind w:left="0" w:right="0" w:firstLine="576"/>
        <w:jc w:val="left"/>
      </w:pPr>
      <w:r>
        <w:t>((</w:t>
      </w:r>
      <w:r>
        <w:rPr>
          <w:strike/>
        </w:rPr>
        <w:t xml:space="preserve">(b)</w:t>
      </w:r>
      <w:r>
        <w:t>))</w:t>
      </w:r>
      <w:r>
        <w:rPr>
          <w:u w:val="single"/>
        </w:rPr>
        <w:t xml:space="preserve">(ii)</w:t>
      </w:r>
      <w:r>
        <w:rPr/>
        <w:t xml:space="preserve">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shall not be construed to require the seizure of tobacco products if the department's agent, board's agent, or law enforcement officer reasonably believes that the tobacco products are possessed for personal consumption by the person in possession of the tobacco products.</w:t>
      </w:r>
    </w:p>
    <w:p>
      <w:pPr>
        <w:spacing w:before="0" w:after="0" w:line="408" w:lineRule="exact"/>
        <w:ind w:left="0" w:right="0" w:firstLine="576"/>
        <w:jc w:val="left"/>
      </w:pPr>
      <w:r>
        <w:rPr/>
        <w:t xml:space="preserve">(6) Any tobacco products seized by a law enforcement officer shall be turned over to the board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240</w:t>
      </w:r>
      <w:r>
        <w:rPr/>
        <w:t xml:space="preserve"> and 2005 c 180 s 21 are each amended to read as follows:</w:t>
      </w:r>
    </w:p>
    <w:p>
      <w:pPr>
        <w:spacing w:before="0" w:after="0" w:line="408" w:lineRule="exact"/>
        <w:ind w:left="0" w:right="0" w:firstLine="576"/>
        <w:jc w:val="left"/>
      </w:pPr>
      <w:r>
        <w:rPr/>
        <w:t xml:space="preserve">(1) In all cases of seizure of any tobacco products made subject to forfeiture under this chapter, the department or board shall proceed as provided in RCW 82.24.135.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p>
    <w:p>
      <w:pPr>
        <w:spacing w:before="0" w:after="0" w:line="408" w:lineRule="exact"/>
        <w:ind w:left="0" w:right="0" w:firstLine="576"/>
        <w:jc w:val="left"/>
      </w:pPr>
      <w:r>
        <w:rPr/>
        <w:t xml:space="preserve">(2) When tobacco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tobacco products at public auction to the highest bidder after due advertisement. Before delivering any of the goods to the successful bidder, the department or board shall require the purchaser to pay the proper amount of any tax due. The proceeds of the sale shall be first applied to the payment of all proper expenses of any investigation leading to the seizure and of the proceedings for forfeiture and sale, including expenses of seizure, maintenance of custody, advertising, and court costs. The balance of the proceeds and all money shall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w:t>
      </w:r>
      <w:r>
        <w:rPr>
          <w:u w:val="single"/>
        </w:rPr>
        <w:t xml:space="preserve">directly</w:t>
      </w:r>
      <w:r>
        <w:rPr/>
        <w:t xml:space="preserve">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r>
        <w:rPr/>
        <w:t xml:space="preserve"> Seizure without process may be made if:</w:t>
      </w:r>
    </w:p>
    <w:p>
      <w:pPr>
        <w:spacing w:before="0" w:after="0" w:line="408" w:lineRule="exact"/>
        <w:ind w:left="0" w:right="0" w:firstLine="576"/>
        <w:jc w:val="left"/>
      </w:pPr>
      <w:r>
        <w:t>((</w:t>
      </w:r>
      <w:r>
        <w:rPr>
          <w:strike/>
        </w:rPr>
        <w:t xml:space="preserve">(i)</w:t>
      </w:r>
      <w:r>
        <w:t>))</w:t>
      </w:r>
      <w:r>
        <w:rPr>
          <w:u w:val="single"/>
        </w:rPr>
        <w:t xml:space="preserve">(I)</w:t>
      </w:r>
      <w:r>
        <w:rPr/>
        <w:t xml:space="preserve"> The seizure is incident to an arrest or a search under a search warrant; or</w:t>
      </w:r>
    </w:p>
    <w:p>
      <w:pPr>
        <w:spacing w:before="0" w:after="0" w:line="408" w:lineRule="exact"/>
        <w:ind w:left="0" w:right="0" w:firstLine="576"/>
        <w:jc w:val="left"/>
      </w:pPr>
      <w:r>
        <w:t>((</w:t>
      </w:r>
      <w:r>
        <w:rPr>
          <w:strike/>
        </w:rPr>
        <w:t xml:space="preserve">(ii)</w:t>
      </w:r>
      <w:r>
        <w:t>))</w:t>
      </w:r>
      <w:r>
        <w:rPr>
          <w:u w:val="single"/>
        </w:rPr>
        <w:t xml:space="preserve">(II)</w:t>
      </w:r>
      <w:r>
        <w:rPr/>
        <w:t xml:space="preserve">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w:t>
      </w:r>
      <w:r>
        <w:rPr>
          <w:u w:val="single"/>
        </w:rPr>
        <w:t xml:space="preserve">directly</w:t>
      </w:r>
      <w:r>
        <w:rPr/>
        <w:t xml:space="preserve"> traceable to a violation of RCW 82.32.290(4), the department must prove by a preponderance of the evidence that the property constitutes proceeds </w:t>
      </w:r>
      <w:r>
        <w:rPr>
          <w:u w:val="single"/>
        </w:rPr>
        <w:t xml:space="preserve">directly</w:t>
      </w:r>
      <w:r>
        <w:rPr/>
        <w:t xml:space="preserve"> traceable to a violation of RCW 82.32.290(4).</w:t>
      </w:r>
    </w:p>
    <w:p>
      <w:pPr>
        <w:spacing w:before="0" w:after="0" w:line="408" w:lineRule="exact"/>
        <w:ind w:left="0" w:right="0" w:firstLine="576"/>
        <w:jc w:val="left"/>
      </w:pPr>
      <w:r>
        <w:rPr/>
        <w:t xml:space="preserve">(6)(a) When property forfeited under this section, other than proceeds </w:t>
      </w:r>
      <w:r>
        <w:rPr>
          <w:u w:val="single"/>
        </w:rPr>
        <w:t xml:space="preserve">directly</w:t>
      </w:r>
      <w:r>
        <w:rPr/>
        <w:t xml:space="preserve">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w:t>
      </w:r>
      <w:r>
        <w:rPr>
          <w:u w:val="single"/>
        </w:rPr>
        <w:t xml:space="preserve">directly</w:t>
      </w:r>
      <w:r>
        <w:rPr/>
        <w:t xml:space="preserve">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360</w:t>
      </w:r>
      <w:r>
        <w:rPr/>
        <w:t xml:space="preserve"> and 2013 c 225 s 132 are each amended to read as follows:</w:t>
      </w:r>
    </w:p>
    <w:p>
      <w:pPr>
        <w:spacing w:before="0" w:after="0" w:line="408" w:lineRule="exact"/>
        <w:ind w:left="0" w:right="0" w:firstLine="576"/>
        <w:jc w:val="left"/>
      </w:pPr>
      <w:r>
        <w:rPr/>
        <w:t xml:space="preserve">(1) The following are subject to seizure and forfeiture:</w:t>
      </w:r>
    </w:p>
    <w:p>
      <w:pPr>
        <w:spacing w:before="0" w:after="0" w:line="408" w:lineRule="exact"/>
        <w:ind w:left="0" w:right="0" w:firstLine="576"/>
        <w:jc w:val="left"/>
      </w:pPr>
      <w:r>
        <w:rPr/>
        <w:t xml:space="preserve">(a) Fuel imported into this state by a person not licensed in this state in accordance with this chapter to import fuel;</w:t>
      </w:r>
    </w:p>
    <w:p>
      <w:pPr>
        <w:spacing w:before="0" w:after="0" w:line="408" w:lineRule="exact"/>
        <w:ind w:left="0" w:right="0" w:firstLine="576"/>
        <w:jc w:val="left"/>
      </w:pPr>
      <w:r>
        <w:rPr/>
        <w:t xml:space="preserve">(b) Fuel blended or manufactured by a person not licensed in this state in accordance with this chapter to blend or manufacture fuel;</w:t>
      </w:r>
    </w:p>
    <w:p>
      <w:pPr>
        <w:spacing w:before="0" w:after="0" w:line="408" w:lineRule="exact"/>
        <w:ind w:left="0" w:right="0" w:firstLine="576"/>
        <w:jc w:val="left"/>
      </w:pPr>
      <w:r>
        <w:rPr/>
        <w:t xml:space="preserve">(c) All conveyances used, or intended for use, to transport, or in any manner to facilitate the transportation, for the purpose of sale or receipt of property described in (a) and (b) of this subsection, except where the owner of the conveyance neither had knowledge of nor consented to the transportation of the fuel by an unlicensed importer, blender, or manufacturer of fuel.</w:t>
      </w:r>
    </w:p>
    <w:p>
      <w:pPr>
        <w:spacing w:before="0" w:after="0" w:line="408" w:lineRule="exact"/>
        <w:ind w:left="0" w:right="0" w:firstLine="576"/>
        <w:jc w:val="left"/>
      </w:pPr>
      <w:r>
        <w:rPr/>
        <w:t xml:space="preserve">(2) Before seizing a common carrier conveyance, contract carrier conveyance, or a conveyance secured by a bona fide security interest where the secured party neither had knowledge of or consented to the unlawful act or omission, the state patrol or the department of licensing must give the common carrier, contract carrier, or secured party, or their representatives within twenty-four hours, a notice in writing served by mail or other means to cease transporting fuel for any person not licensed to import, blend, or manufacture fuel in this state.</w:t>
      </w:r>
    </w:p>
    <w:p>
      <w:pPr>
        <w:spacing w:before="0" w:after="0" w:line="408" w:lineRule="exact"/>
        <w:ind w:left="0" w:right="0" w:firstLine="576"/>
        <w:jc w:val="left"/>
      </w:pPr>
      <w:r>
        <w:rPr/>
        <w:t xml:space="preserve">(3)</w:t>
      </w:r>
      <w:r>
        <w:rPr>
          <w:u w:val="single"/>
        </w:rPr>
        <w:t xml:space="preserve">(a)</w:t>
      </w:r>
      <w:r>
        <w:rPr/>
        <w:t xml:space="preserve"> Property subject to forfeiture under this chapter may be seized by the state patrol upon process issued by a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u w:val="single"/>
        </w:rPr>
        <w:t xml:space="preserve">(i)</w:t>
      </w:r>
      <w:r>
        <w:rPr/>
        <w:t xml:space="preserve"> The seizure is incident to an arrest or a search under a search warrant or an administrative inspection; or</w:t>
      </w:r>
    </w:p>
    <w:p>
      <w:pPr>
        <w:spacing w:before="0" w:after="0" w:line="408" w:lineRule="exact"/>
        <w:ind w:left="0" w:right="0" w:firstLine="576"/>
        <w:jc w:val="left"/>
      </w:pPr>
      <w:r>
        <w:t>((</w:t>
      </w:r>
      <w:r>
        <w:rPr>
          <w:strike/>
        </w:rPr>
        <w:t xml:space="preserve">(b)</w:t>
      </w:r>
      <w:r>
        <w:t>))</w:t>
      </w:r>
      <w:r>
        <w:rPr>
          <w:u w:val="single"/>
        </w:rPr>
        <w:t xml:space="preserve">(ii)</w:t>
      </w:r>
      <w:r>
        <w:rPr/>
        <w:t xml:space="preserve"> The state patrol has probable cause to believe the property was used or is intended to be used in violation of this chapter and exigent circumstances exist making procurement of a search warrant impracticable.</w:t>
      </w:r>
    </w:p>
    <w:p/>
    <w:p>
      <w:pPr>
        <w:jc w:val="center"/>
      </w:pPr>
      <w:r>
        <w:rPr>
          <w:b/>
        </w:rPr>
        <w:t>--- END ---</w:t>
      </w:r>
    </w:p>
    <w:sectPr>
      <w:pgNumType w:start="1"/>
      <w:footerReference xmlns:r="http://schemas.openxmlformats.org/officeDocument/2006/relationships" r:id="R12013c47690640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ccd3f70554f57" /><Relationship Type="http://schemas.openxmlformats.org/officeDocument/2006/relationships/footer" Target="/word/footer.xml" Id="R12013c4769064096" /></Relationships>
</file>