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2e0a67f0d4679" /></Relationships>
</file>

<file path=word/document.xml><?xml version="1.0" encoding="utf-8"?>
<w:document xmlns:w="http://schemas.openxmlformats.org/wordprocessingml/2006/main">
  <w:body>
    <w:p>
      <w:r>
        <w:t>H-0827.1</w:t>
      </w:r>
    </w:p>
    <w:p>
      <w:pPr>
        <w:jc w:val="center"/>
      </w:pPr>
      <w:r>
        <w:t>_______________________________________________</w:t>
      </w:r>
    </w:p>
    <w:p/>
    <w:p>
      <w:pPr>
        <w:jc w:val="center"/>
      </w:pPr>
      <w:r>
        <w:rPr>
          <w:b/>
        </w:rPr>
        <w:t>HOUSE BILL 1503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Ryu, Tharinger, DeBolt, Senn, Robinson, Harris, Cody, Riccelli, Walsh, Sawyer, and Moeller</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liens; amending RCW 60.44.020 and 60.44.060; and reenacting and amending RCW 19.16.100.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020</w:t>
      </w:r>
      <w:r>
        <w:rPr/>
        <w:t xml:space="preserve"> and 1975 1st ex.s. c 250 s 2 are each amended to read as follows:</w:t>
      </w:r>
    </w:p>
    <w:p>
      <w:pPr>
        <w:spacing w:before="0" w:after="0" w:line="408" w:lineRule="exact"/>
        <w:ind w:left="0" w:right="0" w:firstLine="576"/>
        <w:jc w:val="left"/>
      </w:pPr>
      <w:r>
        <w:rPr/>
        <w:t xml:space="preserve">No person shall be entitled to the lien given by RCW 60.44.010 unless such person </w:t>
      </w:r>
      <w:r>
        <w:t>((</w:t>
      </w:r>
      <w:r>
        <w:rPr>
          <w:strike/>
        </w:rPr>
        <w:t xml:space="preserve">shall,</w:t>
      </w:r>
      <w:r>
        <w:t>))</w:t>
      </w:r>
      <w:r>
        <w:rPr>
          <w:u w:val="single"/>
        </w:rPr>
        <w:t xml:space="preserve">:</w:t>
      </w:r>
    </w:p>
    <w:p>
      <w:pPr>
        <w:spacing w:before="0" w:after="0" w:line="408" w:lineRule="exact"/>
        <w:ind w:left="0" w:right="0" w:firstLine="576"/>
        <w:jc w:val="left"/>
      </w:pPr>
      <w:r>
        <w:rPr>
          <w:u w:val="single"/>
        </w:rPr>
        <w:t xml:space="preserve">(1) Is licensed as a collection agency under chapter 19.16 RCW;</w:t>
      </w:r>
    </w:p>
    <w:p>
      <w:pPr>
        <w:spacing w:before="0" w:after="0" w:line="408" w:lineRule="exact"/>
        <w:ind w:left="0" w:right="0" w:firstLine="576"/>
        <w:jc w:val="left"/>
      </w:pPr>
      <w:r>
        <w:rPr>
          <w:u w:val="single"/>
        </w:rPr>
        <w:t xml:space="preserve">(2) Discloses the person's use of liens under this chapter as part of the person's billing and collection practices; and</w:t>
      </w:r>
    </w:p>
    <w:p>
      <w:pPr>
        <w:spacing w:before="0" w:after="0" w:line="408" w:lineRule="exact"/>
        <w:ind w:left="0" w:right="0" w:firstLine="576"/>
        <w:jc w:val="left"/>
      </w:pPr>
      <w:r>
        <w:rPr>
          <w:u w:val="single"/>
        </w:rPr>
        <w:t xml:space="preserve">(3) W</w:t>
      </w:r>
      <w:r>
        <w:rPr/>
        <w:t xml:space="preserve">ithin twenty days after the date of such injury or receipt of transportation or care, or, if settlement has not been accomplished and payment made to such injured person, then at any time before such settlement and payment, file</w:t>
      </w:r>
      <w:r>
        <w:rPr>
          <w:u w:val="single"/>
        </w:rPr>
        <w:t xml:space="preserve">s</w:t>
      </w:r>
      <w:r>
        <w:rPr/>
        <w:t xml:space="preserve"> for record with the county auditor of the county in which said service was performed, a notice of claim stating the name and address of the person claiming the lien and whether such person claims as a practitioner, physician, nurse, ambulance service, or hospital, the name and address of the patient and place of domicile or residence, the time when and place where the alleged fault or negligence of the tort-feasor occurred, and the nature of the injury if any, the name and address of the tort-feasor, if same or any thereof are known, which claim shall be subscribed by the claimant and verified before a person authorized to administer oaths.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060</w:t>
      </w:r>
      <w:r>
        <w:rPr/>
        <w:t xml:space="preserve"> and 2012 c 117 s 153 are each amended to read as follows:</w:t>
      </w:r>
    </w:p>
    <w:p>
      <w:pPr>
        <w:spacing w:before="0" w:after="0" w:line="408" w:lineRule="exact"/>
        <w:ind w:left="0" w:right="0" w:firstLine="576"/>
        <w:jc w:val="left"/>
      </w:pPr>
      <w:r>
        <w:rPr>
          <w:u w:val="single"/>
        </w:rPr>
        <w:t xml:space="preserve">(1)</w:t>
      </w:r>
      <w:r>
        <w:rPr/>
        <w:t xml:space="preserve"> Such lien may be enforced by a suit at law brought by the claimant or his or her assignee within one year after the filing of such lien against the said tort feasor and/or insurer. In the event that such tort feasor and/or insurer shall have made payment or settlement on account of such injury, the fact of such payment shall only for the purpose of such suit be prima facie evidence of the negligence of the tort feasor and of the liability of the payer to compensate for such negligence.</w:t>
      </w:r>
    </w:p>
    <w:p>
      <w:pPr>
        <w:spacing w:before="0" w:after="0" w:line="408" w:lineRule="exact"/>
        <w:ind w:left="0" w:right="0" w:firstLine="576"/>
        <w:jc w:val="left"/>
      </w:pPr>
      <w:r>
        <w:rPr>
          <w:u w:val="single"/>
        </w:rPr>
        <w:t xml:space="preserve">(2) The claimant or his or her assignee shall file a release of the lien with the county auditor with whom the lien was recorded no later than twenty days after receiving payment or settlement.  Violation of this subsection (2) constitutes an unfair or deceptive act or practice in the conduct of trade or commerce under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2013 c 148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r>
        <w:rPr>
          <w:u w:val="single"/>
        </w:rPr>
        <w:t xml:space="preserve">;</w:t>
      </w:r>
    </w:p>
    <w:p>
      <w:pPr>
        <w:spacing w:before="0" w:after="0" w:line="408" w:lineRule="exact"/>
        <w:ind w:left="0" w:right="0" w:firstLine="576"/>
        <w:jc w:val="left"/>
      </w:pPr>
      <w:r>
        <w:rPr>
          <w:u w:val="single"/>
        </w:rPr>
        <w:t xml:space="preserve">(e) Any person or entity attempting to enforce a lien under chapter 60.44 RCW</w:t>
      </w:r>
      <w:r>
        <w:rPr/>
        <w:t xml:space="preserve">.</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"Debtor" means any person owing or alleged to owe a claim.</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"Licensee" means any person licensed under this chapter.</w:t>
      </w:r>
    </w:p>
    <w:p>
      <w:pPr>
        <w:spacing w:before="0" w:after="0" w:line="408" w:lineRule="exact"/>
        <w:ind w:left="0" w:right="0" w:firstLine="576"/>
        <w:jc w:val="left"/>
      </w:pPr>
      <w:r>
        <w:rPr/>
        <w:t xml:space="preserve">(10)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(11) "Person" includes individual, firm, partnership, trust, joint venture, association, or corporation.</w:t>
      </w:r>
    </w:p>
    <w:p>
      <w:pPr>
        <w:spacing w:before="0" w:after="0" w:line="408" w:lineRule="exact"/>
        <w:ind w:left="0" w:right="0" w:firstLine="576"/>
        <w:jc w:val="left"/>
      </w:pPr>
      <w:r>
        <w:rPr/>
        <w:t xml:space="preserve">(12) "Statement of account" means a report setting forth only amounts billed, invoices, credits allowed, or aged balance due.</w:t>
      </w:r>
    </w:p>
    <w:p/>
    <w:p>
      <w:pPr>
        <w:jc w:val="center"/>
      </w:pPr>
      <w:r>
        <w:rPr>
          <w:b/>
        </w:rPr>
        <w:t>--- END ---</w:t>
      </w:r>
    </w:p>
    <w:sectPr>
      <w:pgNumType w:start="1"/>
      <w:footerReference xmlns:r="http://schemas.openxmlformats.org/officeDocument/2006/relationships" r:id="R47896ddeccc04e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4877569f14b46" /><Relationship Type="http://schemas.openxmlformats.org/officeDocument/2006/relationships/footer" Target="/word/footer.xml" Id="R47896ddeccc04ef3" /></Relationships>
</file>