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57d3b94f3c47c8" /></Relationships>
</file>

<file path=word/document.xml><?xml version="1.0" encoding="utf-8"?>
<w:document xmlns:w="http://schemas.openxmlformats.org/wordprocessingml/2006/main">
  <w:body>
    <w:p>
      <w:r>
        <w:t>H-1399.1</w:t>
      </w:r>
    </w:p>
    <w:p>
      <w:pPr>
        <w:jc w:val="center"/>
      </w:pPr>
      <w:r>
        <w:t>_______________________________________________</w:t>
      </w:r>
    </w:p>
    <w:p/>
    <w:p>
      <w:pPr>
        <w:jc w:val="center"/>
      </w:pPr>
      <w:r>
        <w:rPr>
          <w:b/>
        </w:rPr>
        <w:t>SUBSTITUTE HOUSE BILL 1499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Goodman, Jinkins, Johnson, Orwall, Appleton, Lytton, and Tharinger)</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vulnerable adults; amending RCW 9A.42.020, 9A.42.030, 9A.42.035, 9A.56.020, 9A.56.010, 9A.04.080, 9A.56.030, and 9A.56.040; reenacting and amending RCW 9.94A.411 and 9.94A.515; adding a new section to chapter 9A.56 RCW; adding a new section to chapter 74.34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w:t>
      </w:r>
      <w:r>
        <w:rPr>
          <w:u w:val="single"/>
        </w:rPr>
        <w:t xml:space="preserve"> 9A.32.030</w:t>
      </w:r>
      <w:r>
        <w:rPr>
          <w:u w:val="single"/>
        </w:rPr>
        <w:t xml:space="preserve">)</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u w:val="single"/>
        </w:rPr>
        <w:t xml:space="preserve">1st Degree Theft from a Vulnerable Adult (section 6(1) of this act)</w:t>
      </w:r>
    </w:p>
    <w:p>
      <w:pPr>
        <w:spacing w:before="0" w:after="0" w:line="408" w:lineRule="exact"/>
        <w:ind w:left="0" w:right="0" w:firstLine="576"/>
        <w:jc w:val="left"/>
      </w:pPr>
      <w:r>
        <w:rPr>
          <w:u w:val="single"/>
        </w:rPr>
        <w:t xml:space="preserve">2nd Degree Theft from a Vulnerable Adult (section 6(2) of this act)</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obtain control over the property or services, or the value thereof, of a vulnerable adult using undue influence.</w:t>
      </w:r>
    </w:p>
    <w:p>
      <w:pPr>
        <w:spacing w:before="0" w:after="0" w:line="408" w:lineRule="exact"/>
        <w:ind w:left="0" w:right="0" w:firstLine="576"/>
        <w:jc w:val="left"/>
      </w:pPr>
      <w:r>
        <w:rPr>
          <w:u w:val="single"/>
        </w:rPr>
        <w:t xml:space="preserve">(i) "Undue influence" means excessive persuasion that causes a vulnerable adult to act or refrain from acting by overcoming that vulnerable adult's free will.</w:t>
      </w:r>
    </w:p>
    <w:p>
      <w:pPr>
        <w:spacing w:before="0" w:after="0" w:line="408" w:lineRule="exact"/>
        <w:ind w:left="0" w:right="0" w:firstLine="576"/>
        <w:jc w:val="left"/>
      </w:pPr>
      <w:r>
        <w:rPr>
          <w:u w:val="single"/>
        </w:rPr>
        <w:t xml:space="preserve">(ii) "Undue influence" does not include the normal influence that one member of a family has over another member of the family</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means a person eighteen years or older who is particularly vulnerable or incapable of resistance. A person is particularly vulnerable if he or she is more vulnerable to the commission of a crime than the typical victim of that same crime. The defendant must have known or should have known that the victim was a vulnerable adult;</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6(1)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6(2)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Release of</w:t>
            </w:r>
            <w:r>
              <w:t>))</w:t>
            </w:r>
            <w:r>
              <w:rPr>
                <w:rFonts w:ascii="Times New Roman" w:hAnsi="Times New Roman"/>
                <w:sz w:val="20"/>
              </w:rPr>
              <w:t xml:space="preserve"> </w:t>
            </w:r>
            <w:r>
              <w:rPr>
                <w:rFonts w:ascii="Times New Roman" w:hAnsi="Times New Roman"/>
                <w:sz w:val="20"/>
                <w:u w:val="single"/>
              </w:rPr>
              <w:t xml:space="preserve">Unlawfully Releasing, Planting, Possessing, or Placing</w:t>
            </w:r>
            <w:r>
              <w:rPr>
                <w:rFonts w:ascii="Times New Roman" w:hAnsi="Times New Roman"/>
                <w:sz w:val="20"/>
              </w:rPr>
              <w:t xml:space="preserve">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Notwithstanding any provision of law governing the disclosure of information and records, persons who are trained and qualified to serve on multidisciplinary personnel teams may disclose to each other information and records that are relevant to the prevention, identification, or treatment of abuse, neglect, or exploitation of vulnerable adults, as defined in RCW 74.34.020.</w:t>
      </w:r>
    </w:p>
    <w:p>
      <w:pPr>
        <w:spacing w:before="0" w:after="0" w:line="408" w:lineRule="exact"/>
        <w:ind w:left="0" w:right="0" w:firstLine="576"/>
        <w:jc w:val="left"/>
      </w:pPr>
      <w:r>
        <w:rPr/>
        <w:t xml:space="preserve">(2) Except as provided in subsection (1) of this section, any personnel of the multidisciplinary teams who receives information pursuant to this chapter are under the same obligations and subject to the same confidentiality penalties as the person disclosing or providing that information. The information obtained must be maintained in a manner that ensures the maximum protection of privacy and confidentiality rights.</w:t>
      </w:r>
    </w:p>
    <w:p>
      <w:pPr>
        <w:spacing w:before="0" w:after="0" w:line="408" w:lineRule="exact"/>
        <w:ind w:left="0" w:right="0" w:firstLine="576"/>
        <w:jc w:val="left"/>
      </w:pPr>
      <w:r>
        <w:rPr/>
        <w:t xml:space="preserve">(3) For the purposes of this section, a "multidisciplinary personnel team" means any team of two or more persons who are trained in the prevention, identification, management, investigation, prosecution, or treatment of abuse, neglect, or exploitation of vulnerable adults and who are qualified to provide a broad range of services related to abuse, neglect, or exploitation of vulnerable adults. A multidisciplinary personnel team may include, but is not limited to, any of the following:</w:t>
      </w:r>
    </w:p>
    <w:p>
      <w:pPr>
        <w:spacing w:before="0" w:after="0" w:line="408" w:lineRule="exact"/>
        <w:ind w:left="0" w:right="0" w:firstLine="576"/>
        <w:jc w:val="left"/>
      </w:pPr>
      <w:r>
        <w:rPr/>
        <w:t xml:space="preserve">(a) Representatives of the department;</w:t>
      </w:r>
    </w:p>
    <w:p>
      <w:pPr>
        <w:spacing w:before="0" w:after="0" w:line="408" w:lineRule="exact"/>
        <w:ind w:left="0" w:right="0" w:firstLine="576"/>
        <w:jc w:val="left"/>
      </w:pPr>
      <w:r>
        <w:rPr/>
        <w:t xml:space="preserve">(b) Law enforcement officers or other law enforcement agents;</w:t>
      </w:r>
    </w:p>
    <w:p>
      <w:pPr>
        <w:spacing w:before="0" w:after="0" w:line="408" w:lineRule="exact"/>
        <w:ind w:left="0" w:right="0" w:firstLine="576"/>
        <w:jc w:val="left"/>
      </w:pPr>
      <w:r>
        <w:rPr/>
        <w:t xml:space="preserve">(c) Medical personnel with sufficient training to provide health services;</w:t>
      </w:r>
    </w:p>
    <w:p>
      <w:pPr>
        <w:spacing w:before="0" w:after="0" w:line="408" w:lineRule="exact"/>
        <w:ind w:left="0" w:right="0" w:firstLine="576"/>
        <w:jc w:val="left"/>
      </w:pPr>
      <w:r>
        <w:rPr/>
        <w:t xml:space="preserve">(d) Social workers with experience or training in response to or prevention of abuse of vulnerable adults;</w:t>
      </w:r>
    </w:p>
    <w:p>
      <w:pPr>
        <w:spacing w:before="0" w:after="0" w:line="408" w:lineRule="exact"/>
        <w:ind w:left="0" w:right="0" w:firstLine="576"/>
        <w:jc w:val="left"/>
      </w:pPr>
      <w:r>
        <w:rPr/>
        <w:t xml:space="preserve">(e) Public guardians;</w:t>
      </w:r>
    </w:p>
    <w:p>
      <w:pPr>
        <w:spacing w:before="0" w:after="0" w:line="408" w:lineRule="exact"/>
        <w:ind w:left="0" w:right="0" w:firstLine="576"/>
        <w:jc w:val="left"/>
      </w:pPr>
      <w:r>
        <w:rPr/>
        <w:t xml:space="preserve">(f) Long-term care ombuds employees or volunteers;</w:t>
      </w:r>
    </w:p>
    <w:p>
      <w:pPr>
        <w:spacing w:before="0" w:after="0" w:line="408" w:lineRule="exact"/>
        <w:ind w:left="0" w:right="0" w:firstLine="576"/>
        <w:jc w:val="left"/>
      </w:pPr>
      <w:r>
        <w:rPr/>
        <w:t xml:space="preserve">(g) Prosecutors;</w:t>
      </w:r>
    </w:p>
    <w:p>
      <w:pPr>
        <w:spacing w:before="0" w:after="0" w:line="408" w:lineRule="exact"/>
        <w:ind w:left="0" w:right="0" w:firstLine="576"/>
        <w:jc w:val="left"/>
      </w:pPr>
      <w:r>
        <w:rPr/>
        <w:t xml:space="preserve">(h) Medical examiners or coroners; and</w:t>
      </w:r>
    </w:p>
    <w:p>
      <w:pPr>
        <w:spacing w:before="0" w:after="0" w:line="408" w:lineRule="exact"/>
        <w:ind w:left="0" w:right="0" w:firstLine="576"/>
        <w:jc w:val="left"/>
      </w:pPr>
      <w:r>
        <w:rPr/>
        <w:t xml:space="preserve">(i) Financial analysts or forensic accountants.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6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6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
      <w:pPr>
        <w:jc w:val="center"/>
      </w:pPr>
      <w:r>
        <w:rPr>
          <w:b/>
        </w:rPr>
        <w:t>--- END ---</w:t>
      </w:r>
    </w:p>
    <w:sectPr>
      <w:pgNumType w:start="1"/>
      <w:footerReference xmlns:r="http://schemas.openxmlformats.org/officeDocument/2006/relationships" r:id="R9b7e8eb567b14c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9329f67c154099" /><Relationship Type="http://schemas.openxmlformats.org/officeDocument/2006/relationships/footer" Target="/word/footer.xml" Id="R9b7e8eb567b14cb2" /></Relationships>
</file>